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3C73" w14:textId="77777777" w:rsidR="00AE0655" w:rsidRDefault="00AE065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7055CB23" w14:textId="77777777" w:rsidR="00AE0655" w:rsidRDefault="00AE0655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14:paraId="265EE2DF" w14:textId="77777777" w:rsidR="00AE0655" w:rsidRDefault="00AE0655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GRAD DONJI MIHOLJAC</w:t>
      </w:r>
    </w:p>
    <w:p w14:paraId="213240E2" w14:textId="77777777" w:rsidR="00AE0655" w:rsidRDefault="00AE0655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GRADA DONJEG MIHOLJCA ZA 2022. GODINU SA PROJEKCIJAMA ZA 2023. I 2024. GODINU</w:t>
      </w:r>
    </w:p>
    <w:p w14:paraId="1FEFD69A" w14:textId="77777777" w:rsidR="00AE0655" w:rsidRDefault="00AE0655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 I PRIMICI PO EKONOMSKOJ KLASIFIKACIJI +9 [T-1]</w:t>
      </w:r>
    </w:p>
    <w:p w14:paraId="4F0883C6" w14:textId="77777777" w:rsidR="00AE0655" w:rsidRDefault="00AE0655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4B414C1" w14:textId="77777777" w:rsidR="00AE0655" w:rsidRDefault="00AE0655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B8CF113" w14:textId="77777777" w:rsidR="00AE0655" w:rsidRDefault="00AE0655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9095240" w14:textId="77777777" w:rsidR="00AE0655" w:rsidRDefault="00AE06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PRIHODI I PRIMICI</w:t>
      </w:r>
    </w:p>
    <w:p w14:paraId="05A52DC1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57.321.393,50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55.796.075,34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55.944.016,59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100,27%</w:t>
      </w:r>
    </w:p>
    <w:p w14:paraId="2CD90A0C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10.564.168,50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10.616.989,34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10.669.810,18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100,50%</w:t>
      </w:r>
    </w:p>
    <w:p w14:paraId="1D634C66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9.554.168,50</w:t>
      </w:r>
    </w:p>
    <w:p w14:paraId="057696F6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970.000,00</w:t>
      </w:r>
    </w:p>
    <w:p w14:paraId="318A0DCC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14:paraId="184007F4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37.313.310,00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35.704.811,43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35.774.656,89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100,20%</w:t>
      </w:r>
    </w:p>
    <w:p w14:paraId="6B7DE1FF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16.516.780,00</w:t>
      </w:r>
    </w:p>
    <w:p w14:paraId="5753E2FB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2.439.420,00</w:t>
      </w:r>
    </w:p>
    <w:p w14:paraId="48378E06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iz proračuna koji im nije nadležan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2.677.430,00</w:t>
      </w:r>
    </w:p>
    <w:p w14:paraId="16506A07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15.679.680,00</w:t>
      </w:r>
    </w:p>
    <w:p w14:paraId="26004CF6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2.763.600,00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2.769.558,00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2.775.216,00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100,20%</w:t>
      </w:r>
    </w:p>
    <w:p w14:paraId="7495389B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73.600,00</w:t>
      </w:r>
    </w:p>
    <w:p w14:paraId="1BA977D7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2.690.000,00</w:t>
      </w:r>
    </w:p>
    <w:p w14:paraId="4F672B60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3.650.605,00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3.660.608,02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3.665.826,42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100,14%</w:t>
      </w:r>
    </w:p>
    <w:p w14:paraId="43F7EB86" w14:textId="77777777" w:rsidR="00AE0655" w:rsidRDefault="00AE0655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14:paraId="191351DE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101.000,00</w:t>
      </w:r>
    </w:p>
    <w:p w14:paraId="1538717E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2.013.425,00</w:t>
      </w:r>
    </w:p>
    <w:p w14:paraId="316698F6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1.536.180,00</w:t>
      </w:r>
    </w:p>
    <w:p w14:paraId="4806D2F5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proizvoda i robe, te pruženih usluga i prihodi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2.956.710,00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2.970.743,55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2.984.777,10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100,47%</w:t>
      </w:r>
    </w:p>
    <w:p w14:paraId="48D7E6AE" w14:textId="77777777" w:rsidR="00AE0655" w:rsidRDefault="00AE0655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donacija</w:t>
      </w:r>
    </w:p>
    <w:p w14:paraId="1DB98DB6" w14:textId="77777777" w:rsidR="00AE0655" w:rsidRDefault="00AE0655">
      <w:pPr>
        <w:widowControl w:val="0"/>
        <w:tabs>
          <w:tab w:val="left" w:pos="90"/>
        </w:tabs>
        <w:autoSpaceDE w:val="0"/>
        <w:autoSpaceDN w:val="0"/>
        <w:adjustRightInd w:val="0"/>
        <w:spacing w:before="2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</w:p>
    <w:p w14:paraId="727E3331" w14:textId="77777777" w:rsidR="00AE0655" w:rsidRDefault="00AE0655">
      <w:pPr>
        <w:widowControl w:val="0"/>
        <w:tabs>
          <w:tab w:val="left" w:pos="1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400040"/>
          <w:sz w:val="12"/>
          <w:szCs w:val="12"/>
        </w:rPr>
        <w:t>rptE3L-2</w:t>
      </w:r>
    </w:p>
    <w:p w14:paraId="6E7EC1DA" w14:textId="77777777" w:rsidR="00AE0655" w:rsidRDefault="00AE0655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GRADA DONJEG MIHOLJCA ZA 2022. GODINU SA PROJEKCIJAMA ZA 2023. I 2024. GODINU</w:t>
      </w:r>
    </w:p>
    <w:p w14:paraId="0FDFCD7F" w14:textId="77777777" w:rsidR="00AE0655" w:rsidRDefault="00AE0655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 I PRIMICI PO EKONOMSKOJ KLASIFIKACIJI +9 [T-1]</w:t>
      </w:r>
    </w:p>
    <w:p w14:paraId="17DB3A03" w14:textId="77777777" w:rsidR="00AE0655" w:rsidRDefault="00AE0655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04D3365" w14:textId="77777777" w:rsidR="00AE0655" w:rsidRDefault="00AE0655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CB98D46" w14:textId="77777777" w:rsidR="00AE0655" w:rsidRDefault="00AE0655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356D7944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160.000,00</w:t>
      </w:r>
    </w:p>
    <w:p w14:paraId="43D20071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Donacije od pravnih i fizičkih osoba izvan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2.796.710,00</w:t>
      </w:r>
    </w:p>
    <w:p w14:paraId="6A67C79D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73.365,00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100,50%</w:t>
      </w:r>
    </w:p>
    <w:p w14:paraId="2A61C6B3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14:paraId="041093C1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</w:p>
    <w:p w14:paraId="0B00F49C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2.006.680,00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100,25%</w:t>
      </w:r>
    </w:p>
    <w:p w14:paraId="3EB4BF91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14:paraId="3725EEAD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750.000,00</w:t>
      </w:r>
    </w:p>
    <w:p w14:paraId="454223E3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1.498.700,00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1.256.680,00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1.261.660,00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100,40%</w:t>
      </w:r>
    </w:p>
    <w:p w14:paraId="1567886B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1.498.700,00</w:t>
      </w:r>
    </w:p>
    <w:p w14:paraId="3FE93941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714637EB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14:paraId="2DDC3340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zajmovi od banaka i ostalih financijskih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5.000.000,00</w:t>
      </w:r>
    </w:p>
    <w:p w14:paraId="73A6E1E8" w14:textId="77777777" w:rsidR="00AE0655" w:rsidRDefault="00AE0655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14:paraId="6435824E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</w:tabs>
        <w:autoSpaceDE w:val="0"/>
        <w:autoSpaceDN w:val="0"/>
        <w:adjustRightInd w:val="0"/>
        <w:spacing w:before="49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2.226.676,50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73D4E271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2.226.676,50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49000FC6" w14:textId="77777777" w:rsidR="00AE0655" w:rsidRDefault="00AE0655">
      <w:pPr>
        <w:widowControl w:val="0"/>
        <w:tabs>
          <w:tab w:val="right" w:pos="735"/>
          <w:tab w:val="left" w:pos="1470"/>
          <w:tab w:val="right" w:pos="94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2.226.676,50</w:t>
      </w:r>
    </w:p>
    <w:p w14:paraId="2269E930" w14:textId="77777777" w:rsidR="00AE0655" w:rsidRDefault="00AE0655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66.796.770,00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62.802.755,34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62.955.676,59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94,25%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100,24%</w:t>
      </w:r>
    </w:p>
    <w:p w14:paraId="54238A23" w14:textId="77777777" w:rsidR="00AE0655" w:rsidRDefault="00AE0655">
      <w:pPr>
        <w:widowControl w:val="0"/>
        <w:tabs>
          <w:tab w:val="left" w:pos="90"/>
        </w:tabs>
        <w:autoSpaceDE w:val="0"/>
        <w:autoSpaceDN w:val="0"/>
        <w:adjustRightInd w:val="0"/>
        <w:spacing w:before="9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14:paraId="7277474A" w14:textId="77777777" w:rsidR="00AE0655" w:rsidRDefault="00AE0655">
      <w:pPr>
        <w:widowControl w:val="0"/>
        <w:tabs>
          <w:tab w:val="left" w:pos="1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400040"/>
          <w:sz w:val="12"/>
          <w:szCs w:val="12"/>
        </w:rPr>
        <w:t>rptE3L-2</w:t>
      </w:r>
    </w:p>
    <w:sectPr w:rsidR="00AE0655">
      <w:pgSz w:w="16834" w:h="11904" w:orient="landscape" w:code="9"/>
      <w:pgMar w:top="1134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3309"/>
    <w:rsid w:val="000F3309"/>
    <w:rsid w:val="00AE0655"/>
    <w:rsid w:val="00B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ADC7"/>
  <w14:defaultImageDpi w14:val="0"/>
  <w15:docId w15:val="{5E8BDFC8-1337-4394-B9BC-936E443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Tadić</dc:creator>
  <cp:keywords/>
  <dc:description/>
  <cp:lastModifiedBy>SILVIJA STOJIĆ</cp:lastModifiedBy>
  <cp:revision>2</cp:revision>
  <dcterms:created xsi:type="dcterms:W3CDTF">2021-12-30T13:17:00Z</dcterms:created>
  <dcterms:modified xsi:type="dcterms:W3CDTF">2021-12-30T13:17:00Z</dcterms:modified>
</cp:coreProperties>
</file>