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A64C" w14:textId="77777777" w:rsidR="00450B9B" w:rsidRDefault="00450B9B">
      <w:pPr>
        <w:rPr>
          <w:rFonts w:ascii="Arial" w:hAnsi="Arial" w:cs="Arial"/>
          <w:sz w:val="24"/>
          <w:szCs w:val="24"/>
        </w:rPr>
      </w:pPr>
    </w:p>
    <w:p w14:paraId="58E678CA" w14:textId="77777777" w:rsidR="00450B9B" w:rsidRDefault="00450B9B">
      <w:pPr>
        <w:rPr>
          <w:rFonts w:ascii="Arial" w:hAnsi="Arial" w:cs="Arial"/>
          <w:sz w:val="24"/>
          <w:szCs w:val="24"/>
        </w:rPr>
      </w:pPr>
    </w:p>
    <w:p w14:paraId="2BAC68E5" w14:textId="727A9582" w:rsidR="00E90785" w:rsidRPr="00450B9B" w:rsidRDefault="00450B9B" w:rsidP="0021297B">
      <w:pPr>
        <w:jc w:val="both"/>
        <w:rPr>
          <w:rFonts w:ascii="Arial" w:hAnsi="Arial" w:cs="Arial"/>
          <w:sz w:val="24"/>
          <w:szCs w:val="24"/>
        </w:rPr>
      </w:pPr>
      <w:r w:rsidRPr="00450B9B">
        <w:rPr>
          <w:rFonts w:ascii="Arial" w:hAnsi="Arial" w:cs="Arial"/>
          <w:sz w:val="24"/>
          <w:szCs w:val="24"/>
        </w:rPr>
        <w:t>Temeljem članka 42. stavka 1. Zakona o proračunu ("Narodne novine" broj 144/21), te članka 36. Statuta Grada Donjeg Miholjca ("Službeni glasnik" Grada Donjeg Miholjca broj 1/21 i 9/22), Gradsko vijeće Grada Donjeg Miholjca na</w:t>
      </w:r>
      <w:r w:rsidR="009B0AFF">
        <w:rPr>
          <w:rFonts w:ascii="Arial" w:hAnsi="Arial" w:cs="Arial"/>
          <w:sz w:val="24"/>
          <w:szCs w:val="24"/>
        </w:rPr>
        <w:t xml:space="preserve"> 5</w:t>
      </w:r>
      <w:r w:rsidRPr="00450B9B">
        <w:rPr>
          <w:rFonts w:ascii="Arial" w:hAnsi="Arial" w:cs="Arial"/>
          <w:sz w:val="24"/>
          <w:szCs w:val="24"/>
        </w:rPr>
        <w:t>.</w:t>
      </w:r>
      <w:r w:rsidR="009B0AFF">
        <w:rPr>
          <w:rFonts w:ascii="Arial" w:hAnsi="Arial" w:cs="Arial"/>
          <w:sz w:val="24"/>
          <w:szCs w:val="24"/>
        </w:rPr>
        <w:t xml:space="preserve"> </w:t>
      </w:r>
      <w:r w:rsidRPr="00450B9B">
        <w:rPr>
          <w:rFonts w:ascii="Arial" w:hAnsi="Arial" w:cs="Arial"/>
          <w:sz w:val="24"/>
          <w:szCs w:val="24"/>
        </w:rPr>
        <w:t xml:space="preserve">sjednici održanoj dana </w:t>
      </w:r>
      <w:r w:rsidR="0021297B">
        <w:rPr>
          <w:rFonts w:ascii="Arial" w:hAnsi="Arial" w:cs="Arial"/>
          <w:sz w:val="24"/>
          <w:szCs w:val="24"/>
        </w:rPr>
        <w:t>22. prosinca</w:t>
      </w:r>
      <w:r w:rsidRPr="00450B9B">
        <w:rPr>
          <w:rFonts w:ascii="Arial" w:hAnsi="Arial" w:cs="Arial"/>
          <w:sz w:val="24"/>
          <w:szCs w:val="24"/>
        </w:rPr>
        <w:t xml:space="preserve"> 202</w:t>
      </w:r>
      <w:r w:rsidR="006A1FB0">
        <w:rPr>
          <w:rFonts w:ascii="Arial" w:hAnsi="Arial" w:cs="Arial"/>
          <w:sz w:val="24"/>
          <w:szCs w:val="24"/>
        </w:rPr>
        <w:t>5</w:t>
      </w:r>
      <w:r w:rsidRPr="00450B9B">
        <w:rPr>
          <w:rFonts w:ascii="Arial" w:hAnsi="Arial" w:cs="Arial"/>
          <w:sz w:val="24"/>
          <w:szCs w:val="24"/>
        </w:rPr>
        <w:t>. godine, donosi</w:t>
      </w:r>
    </w:p>
    <w:p w14:paraId="74F05693" w14:textId="77777777" w:rsidR="00450B9B" w:rsidRPr="00450B9B" w:rsidRDefault="00450B9B">
      <w:pPr>
        <w:rPr>
          <w:rFonts w:ascii="Arial" w:hAnsi="Arial" w:cs="Arial"/>
          <w:sz w:val="24"/>
          <w:szCs w:val="24"/>
        </w:rPr>
      </w:pPr>
    </w:p>
    <w:p w14:paraId="3338FC86" w14:textId="417F5395" w:rsidR="00450B9B" w:rsidRDefault="00450B9B">
      <w:pPr>
        <w:rPr>
          <w:rFonts w:ascii="Arial" w:hAnsi="Arial" w:cs="Arial"/>
          <w:b/>
          <w:bCs/>
          <w:sz w:val="28"/>
          <w:szCs w:val="28"/>
        </w:rPr>
      </w:pPr>
      <w:r>
        <w:rPr>
          <w:rFonts w:ascii="Arial" w:hAnsi="Arial" w:cs="Arial"/>
          <w:b/>
          <w:bCs/>
          <w:sz w:val="28"/>
          <w:szCs w:val="28"/>
        </w:rPr>
        <w:t>PRORAČUN GRADA DONJEG MIHOLJCA ZA 202</w:t>
      </w:r>
      <w:r w:rsidR="006A1FB0">
        <w:rPr>
          <w:rFonts w:ascii="Arial" w:hAnsi="Arial" w:cs="Arial"/>
          <w:b/>
          <w:bCs/>
          <w:sz w:val="28"/>
          <w:szCs w:val="28"/>
        </w:rPr>
        <w:t>6</w:t>
      </w:r>
      <w:r>
        <w:rPr>
          <w:rFonts w:ascii="Arial" w:hAnsi="Arial" w:cs="Arial"/>
          <w:b/>
          <w:bCs/>
          <w:sz w:val="28"/>
          <w:szCs w:val="28"/>
        </w:rPr>
        <w:t xml:space="preserve">. I PROJEKCIJE </w:t>
      </w:r>
    </w:p>
    <w:p w14:paraId="14F3933B" w14:textId="13F20B2B" w:rsidR="00450B9B" w:rsidRDefault="00450B9B">
      <w:pPr>
        <w:rPr>
          <w:rFonts w:ascii="Arial" w:hAnsi="Arial" w:cs="Arial"/>
          <w:b/>
          <w:bCs/>
          <w:sz w:val="28"/>
          <w:szCs w:val="28"/>
        </w:rPr>
      </w:pPr>
      <w:r>
        <w:rPr>
          <w:rFonts w:ascii="Arial" w:hAnsi="Arial" w:cs="Arial"/>
          <w:b/>
          <w:bCs/>
          <w:sz w:val="28"/>
          <w:szCs w:val="28"/>
        </w:rPr>
        <w:t xml:space="preserve">                          </w:t>
      </w:r>
      <w:r w:rsidR="006A1FB0">
        <w:rPr>
          <w:rFonts w:ascii="Arial" w:hAnsi="Arial" w:cs="Arial"/>
          <w:b/>
          <w:bCs/>
          <w:sz w:val="28"/>
          <w:szCs w:val="28"/>
        </w:rPr>
        <w:t xml:space="preserve">   </w:t>
      </w:r>
      <w:r>
        <w:rPr>
          <w:rFonts w:ascii="Arial" w:hAnsi="Arial" w:cs="Arial"/>
          <w:b/>
          <w:bCs/>
          <w:sz w:val="28"/>
          <w:szCs w:val="28"/>
        </w:rPr>
        <w:t xml:space="preserve">     </w:t>
      </w:r>
      <w:r w:rsidR="009B0AFF">
        <w:rPr>
          <w:rFonts w:ascii="Arial" w:hAnsi="Arial" w:cs="Arial"/>
          <w:b/>
          <w:bCs/>
          <w:sz w:val="28"/>
          <w:szCs w:val="28"/>
        </w:rPr>
        <w:t xml:space="preserve">  </w:t>
      </w:r>
      <w:r>
        <w:rPr>
          <w:rFonts w:ascii="Arial" w:hAnsi="Arial" w:cs="Arial"/>
          <w:b/>
          <w:bCs/>
          <w:sz w:val="28"/>
          <w:szCs w:val="28"/>
        </w:rPr>
        <w:t>ZA 202</w:t>
      </w:r>
      <w:r w:rsidR="006A1FB0">
        <w:rPr>
          <w:rFonts w:ascii="Arial" w:hAnsi="Arial" w:cs="Arial"/>
          <w:b/>
          <w:bCs/>
          <w:sz w:val="28"/>
          <w:szCs w:val="28"/>
        </w:rPr>
        <w:t>7</w:t>
      </w:r>
      <w:r>
        <w:rPr>
          <w:rFonts w:ascii="Arial" w:hAnsi="Arial" w:cs="Arial"/>
          <w:b/>
          <w:bCs/>
          <w:sz w:val="28"/>
          <w:szCs w:val="28"/>
        </w:rPr>
        <w:t>. I 202</w:t>
      </w:r>
      <w:r w:rsidR="006A1FB0">
        <w:rPr>
          <w:rFonts w:ascii="Arial" w:hAnsi="Arial" w:cs="Arial"/>
          <w:b/>
          <w:bCs/>
          <w:sz w:val="28"/>
          <w:szCs w:val="28"/>
        </w:rPr>
        <w:t>8</w:t>
      </w:r>
      <w:r>
        <w:rPr>
          <w:rFonts w:ascii="Arial" w:hAnsi="Arial" w:cs="Arial"/>
          <w:b/>
          <w:bCs/>
          <w:sz w:val="28"/>
          <w:szCs w:val="28"/>
        </w:rPr>
        <w:t>. GODINU</w:t>
      </w:r>
    </w:p>
    <w:p w14:paraId="5274ADF0" w14:textId="77777777" w:rsidR="00450B9B" w:rsidRDefault="00450B9B">
      <w:pPr>
        <w:rPr>
          <w:rFonts w:ascii="Arial" w:hAnsi="Arial" w:cs="Arial"/>
          <w:b/>
          <w:bCs/>
          <w:sz w:val="28"/>
          <w:szCs w:val="28"/>
        </w:rPr>
      </w:pPr>
    </w:p>
    <w:p w14:paraId="16E0A1A9" w14:textId="77777777" w:rsidR="00D518E3" w:rsidRDefault="00D518E3">
      <w:pPr>
        <w:rPr>
          <w:rFonts w:ascii="Arial" w:hAnsi="Arial" w:cs="Arial"/>
          <w:b/>
          <w:bCs/>
          <w:sz w:val="28"/>
          <w:szCs w:val="28"/>
        </w:rPr>
      </w:pPr>
    </w:p>
    <w:p w14:paraId="0B96373C" w14:textId="43C47918" w:rsidR="00D518E3" w:rsidRPr="00D518E3" w:rsidRDefault="00D518E3" w:rsidP="00D518E3">
      <w:pPr>
        <w:pStyle w:val="Odlomakpopisa"/>
        <w:numPr>
          <w:ilvl w:val="0"/>
          <w:numId w:val="1"/>
        </w:numPr>
        <w:rPr>
          <w:rFonts w:ascii="Arial" w:hAnsi="Arial" w:cs="Arial"/>
          <w:b/>
          <w:bCs/>
          <w:sz w:val="28"/>
          <w:szCs w:val="28"/>
        </w:rPr>
      </w:pPr>
      <w:r>
        <w:rPr>
          <w:rFonts w:ascii="Arial" w:hAnsi="Arial" w:cs="Arial"/>
          <w:b/>
          <w:bCs/>
          <w:sz w:val="28"/>
          <w:szCs w:val="28"/>
        </w:rPr>
        <w:t>OPĆI DIO</w:t>
      </w:r>
    </w:p>
    <w:p w14:paraId="34D5F391" w14:textId="77777777" w:rsidR="00D518E3" w:rsidRDefault="00D518E3">
      <w:pPr>
        <w:rPr>
          <w:rFonts w:ascii="Arial" w:hAnsi="Arial" w:cs="Arial"/>
          <w:b/>
          <w:bCs/>
          <w:sz w:val="28"/>
          <w:szCs w:val="28"/>
        </w:rPr>
      </w:pPr>
    </w:p>
    <w:p w14:paraId="2DCBAFBC" w14:textId="6DFD6B6E" w:rsidR="00450B9B" w:rsidRPr="00450B9B" w:rsidRDefault="00450B9B">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Članak 1.</w:t>
      </w:r>
    </w:p>
    <w:p w14:paraId="184CE8EE" w14:textId="77777777" w:rsidR="00450B9B" w:rsidRPr="00450B9B" w:rsidRDefault="00450B9B">
      <w:pPr>
        <w:rPr>
          <w:rFonts w:ascii="Arial" w:hAnsi="Arial" w:cs="Arial"/>
          <w:sz w:val="24"/>
          <w:szCs w:val="24"/>
        </w:rPr>
      </w:pPr>
    </w:p>
    <w:p w14:paraId="210EEDC3" w14:textId="01074EE6" w:rsidR="00450B9B" w:rsidRPr="00450B9B" w:rsidRDefault="00450B9B">
      <w:pPr>
        <w:rPr>
          <w:rFonts w:ascii="Arial" w:hAnsi="Arial" w:cs="Arial"/>
          <w:sz w:val="24"/>
          <w:szCs w:val="24"/>
        </w:rPr>
      </w:pPr>
      <w:r w:rsidRPr="00450B9B">
        <w:rPr>
          <w:rFonts w:ascii="Arial" w:hAnsi="Arial" w:cs="Arial"/>
          <w:sz w:val="24"/>
          <w:szCs w:val="24"/>
        </w:rPr>
        <w:t>Proračun Grada Donjeg Miholjca za 202</w:t>
      </w:r>
      <w:r w:rsidR="006A1FB0">
        <w:rPr>
          <w:rFonts w:ascii="Arial" w:hAnsi="Arial" w:cs="Arial"/>
          <w:sz w:val="24"/>
          <w:szCs w:val="24"/>
        </w:rPr>
        <w:t>6</w:t>
      </w:r>
      <w:r w:rsidRPr="00450B9B">
        <w:rPr>
          <w:rFonts w:ascii="Arial" w:hAnsi="Arial" w:cs="Arial"/>
          <w:sz w:val="24"/>
          <w:szCs w:val="24"/>
        </w:rPr>
        <w:t xml:space="preserve">. godinu </w:t>
      </w:r>
      <w:r>
        <w:rPr>
          <w:rFonts w:ascii="Arial" w:hAnsi="Arial" w:cs="Arial"/>
          <w:sz w:val="24"/>
          <w:szCs w:val="24"/>
        </w:rPr>
        <w:t>(u daljnjem tekstu Proračun</w:t>
      </w:r>
      <w:r w:rsidRPr="00450B9B">
        <w:rPr>
          <w:rFonts w:ascii="Arial" w:hAnsi="Arial" w:cs="Arial"/>
          <w:sz w:val="24"/>
          <w:szCs w:val="24"/>
        </w:rPr>
        <w:t xml:space="preserve">), </w:t>
      </w:r>
      <w:r>
        <w:rPr>
          <w:rFonts w:ascii="Arial" w:hAnsi="Arial" w:cs="Arial"/>
          <w:sz w:val="24"/>
          <w:szCs w:val="24"/>
        </w:rPr>
        <w:t>sa projekcijama za 202</w:t>
      </w:r>
      <w:r w:rsidR="006A1FB0">
        <w:rPr>
          <w:rFonts w:ascii="Arial" w:hAnsi="Arial" w:cs="Arial"/>
          <w:sz w:val="24"/>
          <w:szCs w:val="24"/>
        </w:rPr>
        <w:t>7</w:t>
      </w:r>
      <w:r>
        <w:rPr>
          <w:rFonts w:ascii="Arial" w:hAnsi="Arial" w:cs="Arial"/>
          <w:sz w:val="24"/>
          <w:szCs w:val="24"/>
        </w:rPr>
        <w:t>. i  202</w:t>
      </w:r>
      <w:r w:rsidR="006A1FB0">
        <w:rPr>
          <w:rFonts w:ascii="Arial" w:hAnsi="Arial" w:cs="Arial"/>
          <w:sz w:val="24"/>
          <w:szCs w:val="24"/>
        </w:rPr>
        <w:t>8</w:t>
      </w:r>
      <w:r>
        <w:rPr>
          <w:rFonts w:ascii="Arial" w:hAnsi="Arial" w:cs="Arial"/>
          <w:sz w:val="24"/>
          <w:szCs w:val="24"/>
        </w:rPr>
        <w:t xml:space="preserve">. godinu glasi: Proračun Grada Donjeg Miholjca </w:t>
      </w:r>
      <w:r w:rsidRPr="00450B9B">
        <w:rPr>
          <w:rFonts w:ascii="Arial" w:hAnsi="Arial" w:cs="Arial"/>
          <w:sz w:val="24"/>
          <w:szCs w:val="24"/>
        </w:rPr>
        <w:t>sastoji se od:</w:t>
      </w:r>
    </w:p>
    <w:p w14:paraId="2D23C860" w14:textId="77777777" w:rsidR="00450B9B" w:rsidRPr="00450B9B" w:rsidRDefault="00450B9B">
      <w:pPr>
        <w:rPr>
          <w:rFonts w:ascii="Arial" w:hAnsi="Arial" w:cs="Arial"/>
          <w:sz w:val="24"/>
          <w:szCs w:val="24"/>
        </w:rPr>
      </w:pPr>
    </w:p>
    <w:p w14:paraId="0F48599A" w14:textId="77777777" w:rsidR="00450B9B" w:rsidRPr="00450B9B" w:rsidRDefault="00450B9B">
      <w:pPr>
        <w:rPr>
          <w:rFonts w:ascii="Arial" w:hAnsi="Arial" w:cs="Arial"/>
          <w:sz w:val="24"/>
          <w:szCs w:val="24"/>
        </w:rPr>
      </w:pPr>
    </w:p>
    <w:p w14:paraId="15BC1D55" w14:textId="77777777" w:rsidR="00450B9B" w:rsidRPr="00450B9B" w:rsidRDefault="00450B9B">
      <w:pPr>
        <w:rPr>
          <w:rFonts w:ascii="Arial" w:hAnsi="Arial" w:cs="Arial"/>
          <w:sz w:val="24"/>
          <w:szCs w:val="24"/>
        </w:rPr>
      </w:pPr>
    </w:p>
    <w:p w14:paraId="52B45FF5" w14:textId="2FA82AF9" w:rsidR="004273F9" w:rsidRDefault="004273F9">
      <w:pPr>
        <w:rPr>
          <w:rFonts w:ascii="Arial" w:hAnsi="Arial" w:cs="Arial"/>
          <w:sz w:val="24"/>
          <w:szCs w:val="24"/>
        </w:rPr>
      </w:pPr>
      <w:r>
        <w:rPr>
          <w:rFonts w:ascii="Arial" w:hAnsi="Arial" w:cs="Arial"/>
          <w:sz w:val="24"/>
          <w:szCs w:val="24"/>
        </w:rPr>
        <w:br w:type="page"/>
      </w:r>
    </w:p>
    <w:p w14:paraId="54878914" w14:textId="77777777" w:rsidR="004273F9" w:rsidRDefault="004273F9">
      <w:pPr>
        <w:rPr>
          <w:rFonts w:ascii="Arial" w:hAnsi="Arial" w:cs="Arial"/>
          <w:sz w:val="24"/>
          <w:szCs w:val="24"/>
        </w:rPr>
        <w:sectPr w:rsidR="004273F9">
          <w:pgSz w:w="11906" w:h="16838"/>
          <w:pgMar w:top="1417" w:right="1417" w:bottom="1417" w:left="1417" w:header="708" w:footer="708" w:gutter="0"/>
          <w:cols w:space="708"/>
          <w:docGrid w:linePitch="360"/>
        </w:sectPr>
      </w:pPr>
    </w:p>
    <w:tbl>
      <w:tblPr>
        <w:tblW w:w="15640" w:type="dxa"/>
        <w:tblCellMar>
          <w:left w:w="0" w:type="dxa"/>
          <w:right w:w="0" w:type="dxa"/>
        </w:tblCellMar>
        <w:tblLook w:val="04A0" w:firstRow="1" w:lastRow="0" w:firstColumn="1" w:lastColumn="0" w:noHBand="0" w:noVBand="1"/>
      </w:tblPr>
      <w:tblGrid>
        <w:gridCol w:w="6380"/>
        <w:gridCol w:w="1660"/>
        <w:gridCol w:w="1660"/>
        <w:gridCol w:w="1660"/>
        <w:gridCol w:w="1660"/>
        <w:gridCol w:w="1660"/>
        <w:gridCol w:w="960"/>
      </w:tblGrid>
      <w:tr w:rsidR="004273F9" w:rsidRPr="004273F9" w14:paraId="78B980D9" w14:textId="77777777" w:rsidTr="005B5D4C">
        <w:trPr>
          <w:trHeight w:val="480"/>
        </w:trPr>
        <w:tc>
          <w:tcPr>
            <w:tcW w:w="14680" w:type="dxa"/>
            <w:gridSpan w:val="6"/>
            <w:tcBorders>
              <w:top w:val="nil"/>
              <w:left w:val="nil"/>
              <w:bottom w:val="nil"/>
              <w:right w:val="nil"/>
            </w:tcBorders>
            <w:noWrap/>
            <w:tcMar>
              <w:top w:w="15" w:type="dxa"/>
              <w:left w:w="15" w:type="dxa"/>
              <w:bottom w:w="0" w:type="dxa"/>
              <w:right w:w="15" w:type="dxa"/>
            </w:tcMar>
            <w:vAlign w:val="center"/>
            <w:hideMark/>
          </w:tcPr>
          <w:p w14:paraId="6EA294A9" w14:textId="77777777" w:rsidR="004273F9" w:rsidRPr="004273F9" w:rsidRDefault="004273F9" w:rsidP="004273F9">
            <w:pPr>
              <w:spacing w:after="0" w:line="240" w:lineRule="auto"/>
              <w:rPr>
                <w:rFonts w:ascii="Aptos Narrow" w:eastAsia="Aptos" w:hAnsi="Aptos Narrow" w:cs="Times New Roman"/>
                <w:b/>
                <w:bCs/>
                <w:color w:val="000000"/>
                <w:sz w:val="32"/>
                <w:szCs w:val="32"/>
              </w:rPr>
            </w:pPr>
            <w:r w:rsidRPr="004273F9">
              <w:rPr>
                <w:rFonts w:ascii="Aptos Narrow" w:eastAsia="Aptos" w:hAnsi="Aptos Narrow" w:cs="Times New Roman"/>
                <w:b/>
                <w:bCs/>
                <w:color w:val="000000"/>
                <w:sz w:val="32"/>
                <w:szCs w:val="32"/>
              </w:rPr>
              <w:lastRenderedPageBreak/>
              <w:t>Proračun 2026.</w:t>
            </w:r>
          </w:p>
        </w:tc>
        <w:tc>
          <w:tcPr>
            <w:tcW w:w="960" w:type="dxa"/>
            <w:tcBorders>
              <w:top w:val="nil"/>
              <w:left w:val="nil"/>
              <w:bottom w:val="nil"/>
              <w:right w:val="nil"/>
            </w:tcBorders>
            <w:noWrap/>
            <w:tcMar>
              <w:top w:w="15" w:type="dxa"/>
              <w:left w:w="15" w:type="dxa"/>
              <w:bottom w:w="0" w:type="dxa"/>
              <w:right w:w="15" w:type="dxa"/>
            </w:tcMar>
            <w:vAlign w:val="center"/>
            <w:hideMark/>
          </w:tcPr>
          <w:p w14:paraId="6E2E13C6" w14:textId="77777777" w:rsidR="004273F9" w:rsidRPr="004273F9" w:rsidRDefault="004273F9" w:rsidP="004273F9">
            <w:pPr>
              <w:spacing w:after="0" w:line="240" w:lineRule="auto"/>
              <w:rPr>
                <w:rFonts w:ascii="Aptos Narrow" w:eastAsia="Aptos" w:hAnsi="Aptos Narrow" w:cs="Times New Roman"/>
                <w:b/>
                <w:bCs/>
                <w:color w:val="000000"/>
                <w:sz w:val="32"/>
                <w:szCs w:val="32"/>
              </w:rPr>
            </w:pPr>
          </w:p>
        </w:tc>
      </w:tr>
      <w:tr w:rsidR="004273F9" w:rsidRPr="004273F9" w14:paraId="535283A0" w14:textId="77777777" w:rsidTr="005B5D4C">
        <w:trPr>
          <w:trHeight w:val="375"/>
        </w:trPr>
        <w:tc>
          <w:tcPr>
            <w:tcW w:w="0" w:type="auto"/>
            <w:gridSpan w:val="6"/>
            <w:tcBorders>
              <w:top w:val="nil"/>
              <w:left w:val="nil"/>
              <w:bottom w:val="nil"/>
              <w:right w:val="nil"/>
            </w:tcBorders>
            <w:noWrap/>
            <w:tcMar>
              <w:top w:w="15" w:type="dxa"/>
              <w:left w:w="15" w:type="dxa"/>
              <w:bottom w:w="0" w:type="dxa"/>
              <w:right w:w="15" w:type="dxa"/>
            </w:tcMar>
            <w:vAlign w:val="center"/>
            <w:hideMark/>
          </w:tcPr>
          <w:p w14:paraId="7F90F0A6" w14:textId="77777777" w:rsidR="004273F9" w:rsidRPr="004273F9" w:rsidRDefault="004273F9" w:rsidP="004273F9">
            <w:pPr>
              <w:spacing w:after="0" w:line="240" w:lineRule="auto"/>
              <w:rPr>
                <w:rFonts w:ascii="Aptos Narrow" w:eastAsia="Aptos" w:hAnsi="Aptos Narrow" w:cs="Times New Roman"/>
                <w:color w:val="000000"/>
                <w:sz w:val="28"/>
                <w:szCs w:val="28"/>
              </w:rPr>
            </w:pPr>
            <w:r w:rsidRPr="004273F9">
              <w:rPr>
                <w:rFonts w:ascii="Aptos Narrow" w:eastAsia="Aptos" w:hAnsi="Aptos Narrow" w:cs="Times New Roman"/>
                <w:color w:val="000000"/>
                <w:sz w:val="28"/>
                <w:szCs w:val="28"/>
              </w:rPr>
              <w:t>I. OPĆI DIO - SAŽETAK</w:t>
            </w:r>
          </w:p>
        </w:tc>
        <w:tc>
          <w:tcPr>
            <w:tcW w:w="0" w:type="auto"/>
            <w:tcBorders>
              <w:top w:val="nil"/>
              <w:left w:val="nil"/>
              <w:bottom w:val="nil"/>
              <w:right w:val="nil"/>
            </w:tcBorders>
            <w:noWrap/>
            <w:tcMar>
              <w:top w:w="15" w:type="dxa"/>
              <w:left w:w="15" w:type="dxa"/>
              <w:bottom w:w="0" w:type="dxa"/>
              <w:right w:w="15" w:type="dxa"/>
            </w:tcMar>
            <w:vAlign w:val="center"/>
            <w:hideMark/>
          </w:tcPr>
          <w:p w14:paraId="766D1F31" w14:textId="77777777" w:rsidR="004273F9" w:rsidRPr="004273F9" w:rsidRDefault="004273F9" w:rsidP="004273F9">
            <w:pPr>
              <w:spacing w:after="0" w:line="240" w:lineRule="auto"/>
              <w:rPr>
                <w:rFonts w:ascii="Aptos Narrow" w:eastAsia="Aptos" w:hAnsi="Aptos Narrow" w:cs="Times New Roman"/>
                <w:color w:val="000000"/>
                <w:sz w:val="28"/>
                <w:szCs w:val="28"/>
              </w:rPr>
            </w:pPr>
          </w:p>
        </w:tc>
      </w:tr>
      <w:tr w:rsidR="004273F9" w:rsidRPr="004273F9" w14:paraId="187BE24E" w14:textId="77777777" w:rsidTr="005B5D4C">
        <w:trPr>
          <w:trHeight w:val="300"/>
        </w:trPr>
        <w:tc>
          <w:tcPr>
            <w:tcW w:w="6380" w:type="dxa"/>
            <w:tcBorders>
              <w:top w:val="nil"/>
              <w:left w:val="nil"/>
              <w:bottom w:val="nil"/>
              <w:right w:val="nil"/>
            </w:tcBorders>
            <w:tcMar>
              <w:top w:w="15" w:type="dxa"/>
              <w:left w:w="15" w:type="dxa"/>
              <w:bottom w:w="0" w:type="dxa"/>
              <w:right w:w="15" w:type="dxa"/>
            </w:tcMar>
            <w:vAlign w:val="bottom"/>
            <w:hideMark/>
          </w:tcPr>
          <w:p w14:paraId="1F906F76" w14:textId="77777777" w:rsidR="004273F9" w:rsidRPr="004273F9" w:rsidRDefault="004273F9" w:rsidP="004273F9">
            <w:pPr>
              <w:spacing w:after="0" w:line="240" w:lineRule="auto"/>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0310CFA6" w14:textId="77777777" w:rsidR="004273F9" w:rsidRPr="004273F9" w:rsidRDefault="004273F9" w:rsidP="004273F9">
            <w:pPr>
              <w:spacing w:after="0" w:line="240" w:lineRule="auto"/>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36FAB540" w14:textId="77777777" w:rsidR="004273F9" w:rsidRPr="004273F9" w:rsidRDefault="004273F9" w:rsidP="004273F9">
            <w:pPr>
              <w:spacing w:after="0" w:line="240" w:lineRule="auto"/>
              <w:jc w:val="right"/>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4B081698" w14:textId="77777777" w:rsidR="004273F9" w:rsidRPr="004273F9" w:rsidRDefault="004273F9" w:rsidP="004273F9">
            <w:pPr>
              <w:spacing w:after="0" w:line="240" w:lineRule="auto"/>
              <w:jc w:val="right"/>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1057947F" w14:textId="77777777" w:rsidR="004273F9" w:rsidRPr="004273F9" w:rsidRDefault="004273F9" w:rsidP="004273F9">
            <w:pPr>
              <w:spacing w:after="0" w:line="240" w:lineRule="auto"/>
              <w:jc w:val="right"/>
              <w:rPr>
                <w:rFonts w:ascii="Aptos" w:eastAsia="Aptos" w:hAnsi="Aptos" w:cs="Times New Roman"/>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0AE8865C" w14:textId="77777777" w:rsidR="004273F9" w:rsidRPr="004273F9" w:rsidRDefault="004273F9" w:rsidP="004273F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773012" w14:textId="77777777" w:rsidR="004273F9" w:rsidRPr="004273F9" w:rsidRDefault="004273F9" w:rsidP="004273F9">
            <w:pPr>
              <w:spacing w:after="0" w:line="240" w:lineRule="auto"/>
              <w:jc w:val="right"/>
              <w:rPr>
                <w:rFonts w:ascii="Aptos" w:eastAsia="Aptos" w:hAnsi="Aptos" w:cs="Times New Roman"/>
                <w:sz w:val="20"/>
                <w:szCs w:val="20"/>
              </w:rPr>
            </w:pPr>
          </w:p>
        </w:tc>
      </w:tr>
      <w:tr w:rsidR="004273F9" w:rsidRPr="004273F9" w14:paraId="4F66F3C8" w14:textId="77777777" w:rsidTr="005B5D4C">
        <w:trPr>
          <w:trHeight w:val="1500"/>
        </w:trPr>
        <w:tc>
          <w:tcPr>
            <w:tcW w:w="63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A593EA"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286015"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Izvršenje</w:t>
            </w:r>
            <w:r w:rsidRPr="004273F9">
              <w:rPr>
                <w:rFonts w:ascii="Aptos Narrow" w:eastAsia="Aptos" w:hAnsi="Aptos Narrow" w:cs="Times New Roman"/>
                <w:color w:val="000000"/>
                <w:sz w:val="24"/>
                <w:szCs w:val="24"/>
              </w:rPr>
              <w:br/>
            </w:r>
            <w:r w:rsidRPr="004273F9">
              <w:rPr>
                <w:rFonts w:ascii="Aptos Narrow" w:eastAsia="Aptos" w:hAnsi="Aptos Narrow" w:cs="Times New Roman"/>
                <w:color w:val="000000"/>
                <w:sz w:val="24"/>
                <w:szCs w:val="24"/>
              </w:rPr>
              <w:br/>
              <w:t>2024</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FAEAEF"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Tekući plan</w:t>
            </w:r>
            <w:r w:rsidRPr="004273F9">
              <w:rPr>
                <w:rFonts w:ascii="Aptos Narrow" w:eastAsia="Aptos" w:hAnsi="Aptos Narrow" w:cs="Times New Roman"/>
                <w:color w:val="000000"/>
                <w:sz w:val="24"/>
                <w:szCs w:val="24"/>
              </w:rPr>
              <w:br/>
            </w:r>
            <w:r w:rsidRPr="004273F9">
              <w:rPr>
                <w:rFonts w:ascii="Aptos Narrow" w:eastAsia="Aptos" w:hAnsi="Aptos Narrow" w:cs="Times New Roman"/>
                <w:color w:val="000000"/>
                <w:sz w:val="24"/>
                <w:szCs w:val="24"/>
              </w:rPr>
              <w:br/>
              <w:t>2025</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139C7A"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Plan</w:t>
            </w:r>
            <w:r w:rsidRPr="004273F9">
              <w:rPr>
                <w:rFonts w:ascii="Aptos Narrow" w:eastAsia="Aptos" w:hAnsi="Aptos Narrow" w:cs="Times New Roman"/>
                <w:color w:val="000000"/>
                <w:sz w:val="24"/>
                <w:szCs w:val="24"/>
              </w:rPr>
              <w:br/>
            </w:r>
            <w:r w:rsidRPr="004273F9">
              <w:rPr>
                <w:rFonts w:ascii="Aptos Narrow" w:eastAsia="Aptos" w:hAnsi="Aptos Narrow" w:cs="Times New Roman"/>
                <w:color w:val="000000"/>
                <w:sz w:val="24"/>
                <w:szCs w:val="24"/>
              </w:rPr>
              <w:br/>
              <w:t>2026</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66E35D"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Projekcija</w:t>
            </w:r>
            <w:r w:rsidRPr="004273F9">
              <w:rPr>
                <w:rFonts w:ascii="Aptos Narrow" w:eastAsia="Aptos" w:hAnsi="Aptos Narrow" w:cs="Times New Roman"/>
                <w:color w:val="000000"/>
                <w:sz w:val="24"/>
                <w:szCs w:val="24"/>
              </w:rPr>
              <w:br/>
            </w:r>
            <w:r w:rsidRPr="004273F9">
              <w:rPr>
                <w:rFonts w:ascii="Aptos Narrow" w:eastAsia="Aptos" w:hAnsi="Aptos Narrow" w:cs="Times New Roman"/>
                <w:color w:val="000000"/>
                <w:sz w:val="24"/>
                <w:szCs w:val="24"/>
              </w:rPr>
              <w:br/>
              <w:t>2027</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2D47F7"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Projekcija</w:t>
            </w:r>
            <w:r w:rsidRPr="004273F9">
              <w:rPr>
                <w:rFonts w:ascii="Aptos Narrow" w:eastAsia="Aptos" w:hAnsi="Aptos Narrow" w:cs="Times New Roman"/>
                <w:color w:val="000000"/>
                <w:sz w:val="24"/>
                <w:szCs w:val="24"/>
              </w:rPr>
              <w:br/>
            </w:r>
            <w:r w:rsidRPr="004273F9">
              <w:rPr>
                <w:rFonts w:ascii="Aptos Narrow" w:eastAsia="Aptos" w:hAnsi="Aptos Narrow" w:cs="Times New Roman"/>
                <w:color w:val="000000"/>
                <w:sz w:val="24"/>
                <w:szCs w:val="24"/>
              </w:rPr>
              <w:br/>
              <w:t>2028</w:t>
            </w:r>
          </w:p>
        </w:tc>
        <w:tc>
          <w:tcPr>
            <w:tcW w:w="0" w:type="auto"/>
            <w:tcBorders>
              <w:top w:val="nil"/>
              <w:left w:val="nil"/>
              <w:bottom w:val="nil"/>
              <w:right w:val="nil"/>
            </w:tcBorders>
            <w:noWrap/>
            <w:tcMar>
              <w:top w:w="15" w:type="dxa"/>
              <w:left w:w="15" w:type="dxa"/>
              <w:bottom w:w="0" w:type="dxa"/>
              <w:right w:w="15" w:type="dxa"/>
            </w:tcMar>
            <w:vAlign w:val="bottom"/>
            <w:hideMark/>
          </w:tcPr>
          <w:p w14:paraId="4F2EBF1F"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p>
        </w:tc>
      </w:tr>
      <w:tr w:rsidR="004273F9" w:rsidRPr="004273F9" w14:paraId="63359EEF"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A33299"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D8E37B"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9BE5F6"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D1E702"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980CFE"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37613D"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6</w:t>
            </w:r>
          </w:p>
        </w:tc>
        <w:tc>
          <w:tcPr>
            <w:tcW w:w="0" w:type="auto"/>
            <w:tcBorders>
              <w:top w:val="nil"/>
              <w:left w:val="nil"/>
              <w:bottom w:val="nil"/>
              <w:right w:val="nil"/>
            </w:tcBorders>
            <w:noWrap/>
            <w:tcMar>
              <w:top w:w="15" w:type="dxa"/>
              <w:left w:w="15" w:type="dxa"/>
              <w:bottom w:w="0" w:type="dxa"/>
              <w:right w:w="15" w:type="dxa"/>
            </w:tcMar>
            <w:vAlign w:val="bottom"/>
            <w:hideMark/>
          </w:tcPr>
          <w:p w14:paraId="069A2978" w14:textId="77777777" w:rsidR="004273F9" w:rsidRPr="004273F9" w:rsidRDefault="004273F9" w:rsidP="004273F9">
            <w:pPr>
              <w:spacing w:after="0" w:line="240" w:lineRule="auto"/>
              <w:jc w:val="center"/>
              <w:rPr>
                <w:rFonts w:ascii="Aptos Narrow" w:eastAsia="Aptos" w:hAnsi="Aptos Narrow" w:cs="Times New Roman"/>
                <w:color w:val="000000"/>
                <w:sz w:val="20"/>
                <w:szCs w:val="20"/>
              </w:rPr>
            </w:pPr>
          </w:p>
        </w:tc>
      </w:tr>
      <w:tr w:rsidR="004273F9" w:rsidRPr="004273F9" w14:paraId="62F69D5A" w14:textId="77777777" w:rsidTr="005B5D4C">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B1F1576"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A) SAŽETAK RAČUNA PRIHODA I RASHODA</w:t>
            </w:r>
          </w:p>
        </w:tc>
        <w:tc>
          <w:tcPr>
            <w:tcW w:w="0" w:type="auto"/>
            <w:tcBorders>
              <w:top w:val="nil"/>
              <w:left w:val="nil"/>
              <w:bottom w:val="nil"/>
              <w:right w:val="nil"/>
            </w:tcBorders>
            <w:noWrap/>
            <w:tcMar>
              <w:top w:w="15" w:type="dxa"/>
              <w:left w:w="15" w:type="dxa"/>
              <w:bottom w:w="0" w:type="dxa"/>
              <w:right w:w="15" w:type="dxa"/>
            </w:tcMar>
            <w:vAlign w:val="bottom"/>
            <w:hideMark/>
          </w:tcPr>
          <w:p w14:paraId="12871328"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p>
        </w:tc>
      </w:tr>
      <w:tr w:rsidR="004273F9" w:rsidRPr="004273F9" w14:paraId="30FB9ED4" w14:textId="77777777" w:rsidTr="005B5D4C">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9FF6BE6" w14:textId="77777777" w:rsidR="004273F9" w:rsidRPr="004273F9" w:rsidRDefault="004273F9" w:rsidP="004273F9">
            <w:pPr>
              <w:spacing w:after="0" w:line="240" w:lineRule="auto"/>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DB271A"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6.804.489,60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077F466"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11.016.361,18</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4E7D2BB"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9.902.651,39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C8C3C6D"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8.440.170,75</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AF72267"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8.093.269,65</w:t>
            </w:r>
          </w:p>
        </w:tc>
        <w:tc>
          <w:tcPr>
            <w:tcW w:w="0" w:type="auto"/>
            <w:tcBorders>
              <w:top w:val="nil"/>
              <w:left w:val="nil"/>
              <w:bottom w:val="nil"/>
              <w:right w:val="nil"/>
            </w:tcBorders>
            <w:noWrap/>
            <w:tcMar>
              <w:top w:w="15" w:type="dxa"/>
              <w:left w:w="15" w:type="dxa"/>
              <w:bottom w:w="0" w:type="dxa"/>
              <w:right w:w="15" w:type="dxa"/>
            </w:tcMar>
            <w:vAlign w:val="bottom"/>
            <w:hideMark/>
          </w:tcPr>
          <w:p w14:paraId="65EF862F"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p>
        </w:tc>
      </w:tr>
      <w:tr w:rsidR="004273F9" w:rsidRPr="004273F9" w14:paraId="11DCF3DA"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08F81E"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236D3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6.703.745,68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21BA6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10.865.061,18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F9296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9.751.351,39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B65DE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8.288.114,25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3D996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7.940.456,65</w:t>
            </w:r>
          </w:p>
        </w:tc>
        <w:tc>
          <w:tcPr>
            <w:tcW w:w="0" w:type="auto"/>
            <w:tcBorders>
              <w:top w:val="nil"/>
              <w:left w:val="nil"/>
              <w:bottom w:val="nil"/>
              <w:right w:val="nil"/>
            </w:tcBorders>
            <w:noWrap/>
            <w:tcMar>
              <w:top w:w="15" w:type="dxa"/>
              <w:left w:w="15" w:type="dxa"/>
              <w:bottom w:w="0" w:type="dxa"/>
              <w:right w:w="15" w:type="dxa"/>
            </w:tcMar>
            <w:vAlign w:val="bottom"/>
            <w:hideMark/>
          </w:tcPr>
          <w:p w14:paraId="6B32AB27"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22B34EAD"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83AF43"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E7789B"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100.743,92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0A8EEE"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151.300,00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19F1E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151.300,00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62735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152.056,50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F01944"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152.813,00</w:t>
            </w:r>
          </w:p>
        </w:tc>
        <w:tc>
          <w:tcPr>
            <w:tcW w:w="0" w:type="auto"/>
            <w:tcBorders>
              <w:top w:val="nil"/>
              <w:left w:val="nil"/>
              <w:bottom w:val="nil"/>
              <w:right w:val="nil"/>
            </w:tcBorders>
            <w:noWrap/>
            <w:tcMar>
              <w:top w:w="15" w:type="dxa"/>
              <w:left w:w="15" w:type="dxa"/>
              <w:bottom w:w="0" w:type="dxa"/>
              <w:right w:w="15" w:type="dxa"/>
            </w:tcMar>
            <w:vAlign w:val="bottom"/>
            <w:hideMark/>
          </w:tcPr>
          <w:p w14:paraId="200609D1"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4B17616B" w14:textId="77777777" w:rsidTr="005B5D4C">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3DDFBB8" w14:textId="77777777" w:rsidR="004273F9" w:rsidRPr="004273F9" w:rsidRDefault="004273F9" w:rsidP="004273F9">
            <w:pPr>
              <w:spacing w:after="0" w:line="240" w:lineRule="auto"/>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60E9684"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6.395.019,38</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8B1032B"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13.827.108,54</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9D371D2"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11.913.398,75</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FC26006"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9.740.170,75</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EEAC51B"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9.393.269,65</w:t>
            </w:r>
          </w:p>
        </w:tc>
        <w:tc>
          <w:tcPr>
            <w:tcW w:w="0" w:type="auto"/>
            <w:tcBorders>
              <w:top w:val="nil"/>
              <w:left w:val="nil"/>
              <w:bottom w:val="nil"/>
              <w:right w:val="nil"/>
            </w:tcBorders>
            <w:noWrap/>
            <w:tcMar>
              <w:top w:w="15" w:type="dxa"/>
              <w:left w:w="15" w:type="dxa"/>
              <w:bottom w:w="0" w:type="dxa"/>
              <w:right w:w="15" w:type="dxa"/>
            </w:tcMar>
            <w:vAlign w:val="bottom"/>
            <w:hideMark/>
          </w:tcPr>
          <w:p w14:paraId="6F98919F"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p>
        </w:tc>
      </w:tr>
      <w:tr w:rsidR="004273F9" w:rsidRPr="004273F9" w14:paraId="40DBC43A"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012BFF"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01C594"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4.587.738,86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05A6D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7.102.893,54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DE6B6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7.210.974,41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CB64CE"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6.865.316,75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E6D52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6.788.084,65</w:t>
            </w:r>
          </w:p>
        </w:tc>
        <w:tc>
          <w:tcPr>
            <w:tcW w:w="0" w:type="auto"/>
            <w:tcBorders>
              <w:top w:val="nil"/>
              <w:left w:val="nil"/>
              <w:bottom w:val="nil"/>
              <w:right w:val="nil"/>
            </w:tcBorders>
            <w:noWrap/>
            <w:tcMar>
              <w:top w:w="15" w:type="dxa"/>
              <w:left w:w="15" w:type="dxa"/>
              <w:bottom w:w="0" w:type="dxa"/>
              <w:right w:w="15" w:type="dxa"/>
            </w:tcMar>
            <w:vAlign w:val="bottom"/>
            <w:hideMark/>
          </w:tcPr>
          <w:p w14:paraId="538C1A5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763FDA87"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03B8D7"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D6ECC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1.807.280,52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46F5A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6.724.215,00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4B9DB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4.702.424,34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EEC50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2.874.854,00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09A371"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2.605.185,00</w:t>
            </w:r>
          </w:p>
        </w:tc>
        <w:tc>
          <w:tcPr>
            <w:tcW w:w="0" w:type="auto"/>
            <w:tcBorders>
              <w:top w:val="nil"/>
              <w:left w:val="nil"/>
              <w:bottom w:val="nil"/>
              <w:right w:val="nil"/>
            </w:tcBorders>
            <w:noWrap/>
            <w:tcMar>
              <w:top w:w="15" w:type="dxa"/>
              <w:left w:w="15" w:type="dxa"/>
              <w:bottom w:w="0" w:type="dxa"/>
              <w:right w:w="15" w:type="dxa"/>
            </w:tcMar>
            <w:vAlign w:val="bottom"/>
            <w:hideMark/>
          </w:tcPr>
          <w:p w14:paraId="5ACFF03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6CF7B7A4" w14:textId="77777777" w:rsidTr="005B5D4C">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AAF57BF" w14:textId="77777777" w:rsidR="004273F9" w:rsidRPr="004273F9" w:rsidRDefault="004273F9" w:rsidP="004273F9">
            <w:pPr>
              <w:spacing w:after="0" w:line="240" w:lineRule="auto"/>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3C5E0AE"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409.470,22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9491FB8"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-2.810.747,36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552ABA2"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-2.010.747,36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F8F653B"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-1.300.000,00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B2B5A2F"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-1.300.000,00</w:t>
            </w:r>
          </w:p>
        </w:tc>
        <w:tc>
          <w:tcPr>
            <w:tcW w:w="0" w:type="auto"/>
            <w:tcBorders>
              <w:top w:val="nil"/>
              <w:left w:val="nil"/>
              <w:bottom w:val="nil"/>
              <w:right w:val="nil"/>
            </w:tcBorders>
            <w:noWrap/>
            <w:tcMar>
              <w:top w:w="15" w:type="dxa"/>
              <w:left w:w="15" w:type="dxa"/>
              <w:bottom w:w="0" w:type="dxa"/>
              <w:right w:w="15" w:type="dxa"/>
            </w:tcMar>
            <w:vAlign w:val="bottom"/>
            <w:hideMark/>
          </w:tcPr>
          <w:p w14:paraId="392F7712"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p>
        </w:tc>
      </w:tr>
      <w:tr w:rsidR="004273F9" w:rsidRPr="004273F9" w14:paraId="37211DFD" w14:textId="77777777" w:rsidTr="005B5D4C">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764D0111"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B) SAŽETAK RAČUNA FINANCIRANJA</w:t>
            </w:r>
          </w:p>
        </w:tc>
        <w:tc>
          <w:tcPr>
            <w:tcW w:w="0" w:type="auto"/>
            <w:tcBorders>
              <w:top w:val="nil"/>
              <w:left w:val="nil"/>
              <w:bottom w:val="nil"/>
              <w:right w:val="nil"/>
            </w:tcBorders>
            <w:noWrap/>
            <w:tcMar>
              <w:top w:w="15" w:type="dxa"/>
              <w:left w:w="15" w:type="dxa"/>
              <w:bottom w:w="0" w:type="dxa"/>
              <w:right w:w="15" w:type="dxa"/>
            </w:tcMar>
            <w:vAlign w:val="bottom"/>
            <w:hideMark/>
          </w:tcPr>
          <w:p w14:paraId="032ED800"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p>
        </w:tc>
      </w:tr>
      <w:tr w:rsidR="004273F9" w:rsidRPr="004273F9" w14:paraId="7290E7F5"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885047"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7C645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2278C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1.300.000,00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807151"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1.300.000,00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87F00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1.300.000,00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091A4"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1.300.000,00</w:t>
            </w:r>
          </w:p>
        </w:tc>
        <w:tc>
          <w:tcPr>
            <w:tcW w:w="0" w:type="auto"/>
            <w:tcBorders>
              <w:top w:val="nil"/>
              <w:left w:val="nil"/>
              <w:bottom w:val="nil"/>
              <w:right w:val="nil"/>
            </w:tcBorders>
            <w:noWrap/>
            <w:tcMar>
              <w:top w:w="15" w:type="dxa"/>
              <w:left w:w="15" w:type="dxa"/>
              <w:bottom w:w="0" w:type="dxa"/>
              <w:right w:w="15" w:type="dxa"/>
            </w:tcMar>
            <w:vAlign w:val="bottom"/>
            <w:hideMark/>
          </w:tcPr>
          <w:p w14:paraId="6EB00A8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6ED28822"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1F9937"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45AC8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F8467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B4A032"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800.000,00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26AE4"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7B86A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6EA1FCB"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161AD469" w14:textId="77777777" w:rsidTr="005B5D4C">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DBD74F1" w14:textId="77777777" w:rsidR="004273F9" w:rsidRPr="004273F9" w:rsidRDefault="004273F9" w:rsidP="004273F9">
            <w:pPr>
              <w:spacing w:after="0" w:line="240" w:lineRule="auto"/>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83C0D4F"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2D73551"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1.300.000,00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5251EF3"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500.000,00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C20FE6F"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1.300.000,00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8CDD4F9"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1.300.000,00</w:t>
            </w:r>
          </w:p>
        </w:tc>
        <w:tc>
          <w:tcPr>
            <w:tcW w:w="0" w:type="auto"/>
            <w:tcBorders>
              <w:top w:val="nil"/>
              <w:left w:val="nil"/>
              <w:bottom w:val="nil"/>
              <w:right w:val="nil"/>
            </w:tcBorders>
            <w:noWrap/>
            <w:tcMar>
              <w:top w:w="15" w:type="dxa"/>
              <w:left w:w="15" w:type="dxa"/>
              <w:bottom w:w="0" w:type="dxa"/>
              <w:right w:w="15" w:type="dxa"/>
            </w:tcMar>
            <w:vAlign w:val="bottom"/>
            <w:hideMark/>
          </w:tcPr>
          <w:p w14:paraId="7B701677"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p>
        </w:tc>
      </w:tr>
      <w:tr w:rsidR="004273F9" w:rsidRPr="004273F9" w14:paraId="269E109B" w14:textId="77777777" w:rsidTr="005B5D4C">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E537951" w14:textId="77777777" w:rsidR="004273F9" w:rsidRPr="004273F9" w:rsidRDefault="004273F9" w:rsidP="004273F9">
            <w:pPr>
              <w:spacing w:after="0" w:line="240" w:lineRule="auto"/>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 xml:space="preserve">  VIŠAK/MANJAK +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361E29C"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409.470,22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D3F2767"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-1.510.747,36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AD7851D"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-1.510.747,36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91A9C8E"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CF4A018"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r w:rsidRPr="004273F9">
              <w:rPr>
                <w:rFonts w:ascii="Aptos Narrow" w:eastAsia="Aptos" w:hAnsi="Aptos Narrow" w:cs="Times New Roman"/>
                <w:b/>
                <w:bCs/>
                <w:color w:val="000000"/>
                <w:sz w:val="24"/>
                <w:szCs w:val="24"/>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FAE8E83" w14:textId="77777777" w:rsidR="004273F9" w:rsidRPr="004273F9" w:rsidRDefault="004273F9" w:rsidP="004273F9">
            <w:pPr>
              <w:spacing w:after="0" w:line="240" w:lineRule="auto"/>
              <w:jc w:val="right"/>
              <w:rPr>
                <w:rFonts w:ascii="Aptos Narrow" w:eastAsia="Aptos" w:hAnsi="Aptos Narrow" w:cs="Times New Roman"/>
                <w:b/>
                <w:bCs/>
                <w:color w:val="000000"/>
                <w:sz w:val="24"/>
                <w:szCs w:val="24"/>
              </w:rPr>
            </w:pPr>
          </w:p>
        </w:tc>
      </w:tr>
      <w:tr w:rsidR="004273F9" w:rsidRPr="004273F9" w14:paraId="76441084" w14:textId="77777777" w:rsidTr="005B5D4C">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8EFDC0F"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C) PRENESENI VIŠAK ILI PRENESENI MANJAK</w:t>
            </w:r>
          </w:p>
        </w:tc>
        <w:tc>
          <w:tcPr>
            <w:tcW w:w="0" w:type="auto"/>
            <w:tcBorders>
              <w:top w:val="nil"/>
              <w:left w:val="nil"/>
              <w:bottom w:val="nil"/>
              <w:right w:val="nil"/>
            </w:tcBorders>
            <w:noWrap/>
            <w:tcMar>
              <w:top w:w="15" w:type="dxa"/>
              <w:left w:w="15" w:type="dxa"/>
              <w:bottom w:w="0" w:type="dxa"/>
              <w:right w:w="15" w:type="dxa"/>
            </w:tcMar>
            <w:vAlign w:val="bottom"/>
            <w:hideMark/>
          </w:tcPr>
          <w:p w14:paraId="44D9E572"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p>
        </w:tc>
      </w:tr>
      <w:tr w:rsidR="004273F9" w:rsidRPr="004273F9" w14:paraId="638143A1"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3A8A72"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DDFFDE"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ADDA4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9C1F4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68AAD3"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6E5E2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A1F07F7"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45085C2A"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0C5A77"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F7856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C5E27E"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8EAAFB"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423A4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C34AA7"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F13C8B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1E010C85" w14:textId="77777777" w:rsidTr="005B5D4C">
        <w:trPr>
          <w:trHeight w:val="54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C493DE"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6998F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1.502.884,11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1E3C8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05107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555DA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F6A0E4"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F8720C6"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579E4C1D" w14:textId="77777777" w:rsidTr="005B5D4C">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294A13D3"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r w:rsidRPr="004273F9">
              <w:rPr>
                <w:rFonts w:ascii="Aptos Narrow" w:eastAsia="Aptos" w:hAnsi="Aptos Narrow" w:cs="Times New Roman"/>
                <w:color w:val="000000"/>
                <w:sz w:val="24"/>
                <w:szCs w:val="24"/>
              </w:rPr>
              <w:t>D) VIŠEGODIŠNJI PLAN URAVNOTEŽENJA</w:t>
            </w:r>
          </w:p>
        </w:tc>
        <w:tc>
          <w:tcPr>
            <w:tcW w:w="0" w:type="auto"/>
            <w:tcBorders>
              <w:top w:val="nil"/>
              <w:left w:val="nil"/>
              <w:bottom w:val="nil"/>
              <w:right w:val="nil"/>
            </w:tcBorders>
            <w:noWrap/>
            <w:tcMar>
              <w:top w:w="15" w:type="dxa"/>
              <w:left w:w="15" w:type="dxa"/>
              <w:bottom w:w="0" w:type="dxa"/>
              <w:right w:w="15" w:type="dxa"/>
            </w:tcMar>
            <w:vAlign w:val="bottom"/>
            <w:hideMark/>
          </w:tcPr>
          <w:p w14:paraId="19E74066" w14:textId="77777777" w:rsidR="004273F9" w:rsidRPr="004273F9" w:rsidRDefault="004273F9" w:rsidP="004273F9">
            <w:pPr>
              <w:spacing w:after="0" w:line="240" w:lineRule="auto"/>
              <w:jc w:val="center"/>
              <w:rPr>
                <w:rFonts w:ascii="Aptos Narrow" w:eastAsia="Aptos" w:hAnsi="Aptos Narrow" w:cs="Times New Roman"/>
                <w:color w:val="000000"/>
                <w:sz w:val="24"/>
                <w:szCs w:val="24"/>
              </w:rPr>
            </w:pPr>
          </w:p>
        </w:tc>
      </w:tr>
      <w:tr w:rsidR="004273F9" w:rsidRPr="004273F9" w14:paraId="22CA8ED0"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DAE42D"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7084E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A7D482"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904E5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1AA55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45E1D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DF673EF"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3E86DFB2"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D5861F"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VIŠAK/MANJAK IZ PRETHODNE(IH) GODINE KOJI ĆE SE RASPOREDITI/POKRITI</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8734D1"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1.093.413,89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0222C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FDC308"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2FB1FF"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CC3DEF"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B70B970"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2D2F104B"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40799E"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VIŠAK/MANJAK TEKUĆE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8686F3"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409.470,22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F40F57"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FD4823"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-1.510.747,36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C51DC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149544"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FAF2519"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r w:rsidR="004273F9" w:rsidRPr="004273F9" w14:paraId="3B3E1D5B" w14:textId="77777777" w:rsidTr="005B5D4C">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90C96B" w14:textId="77777777" w:rsidR="004273F9" w:rsidRPr="004273F9" w:rsidRDefault="004273F9" w:rsidP="004273F9">
            <w:pPr>
              <w:spacing w:after="0" w:line="240" w:lineRule="auto"/>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8BBBE1"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36E72"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A0EA3C"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46E7A5"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319BDB"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r w:rsidRPr="004273F9">
              <w:rPr>
                <w:rFonts w:ascii="Aptos Narrow" w:eastAsia="Aptos" w:hAnsi="Aptos Narrow" w:cs="Times New Roman"/>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434DE3A" w14:textId="77777777" w:rsidR="004273F9" w:rsidRPr="004273F9" w:rsidRDefault="004273F9" w:rsidP="004273F9">
            <w:pPr>
              <w:spacing w:after="0" w:line="240" w:lineRule="auto"/>
              <w:jc w:val="right"/>
              <w:rPr>
                <w:rFonts w:ascii="Aptos Narrow" w:eastAsia="Aptos" w:hAnsi="Aptos Narrow" w:cs="Times New Roman"/>
                <w:color w:val="000000"/>
                <w:sz w:val="20"/>
                <w:szCs w:val="20"/>
              </w:rPr>
            </w:pPr>
          </w:p>
        </w:tc>
      </w:tr>
    </w:tbl>
    <w:p w14:paraId="13165CD8" w14:textId="77777777" w:rsidR="00D97537" w:rsidRDefault="00D97537">
      <w:pPr>
        <w:rPr>
          <w:rFonts w:ascii="Arial" w:hAnsi="Arial" w:cs="Arial"/>
          <w:sz w:val="24"/>
          <w:szCs w:val="24"/>
        </w:rPr>
        <w:sectPr w:rsidR="00D97537" w:rsidSect="004273F9">
          <w:pgSz w:w="16838" w:h="11906" w:orient="landscape"/>
          <w:pgMar w:top="567" w:right="851" w:bottom="567" w:left="851" w:header="709" w:footer="709" w:gutter="0"/>
          <w:cols w:space="708"/>
          <w:docGrid w:linePitch="360"/>
        </w:sectPr>
      </w:pPr>
    </w:p>
    <w:p w14:paraId="11F55999" w14:textId="77777777" w:rsidR="00EC10B0" w:rsidRDefault="00EC10B0" w:rsidP="00EC10B0"/>
    <w:p w14:paraId="0C7AFD1B" w14:textId="77777777" w:rsidR="00EC10B0" w:rsidRDefault="00EC10B0" w:rsidP="00EC10B0"/>
    <w:p w14:paraId="654CA2F6" w14:textId="77777777" w:rsidR="00EC10B0" w:rsidRDefault="00EC10B0" w:rsidP="00EC10B0"/>
    <w:p w14:paraId="4814B360" w14:textId="3BE7D35E" w:rsidR="00EC10B0" w:rsidRPr="00875C00" w:rsidRDefault="00EC10B0" w:rsidP="00EC10B0">
      <w:pPr>
        <w:jc w:val="center"/>
        <w:rPr>
          <w:rFonts w:ascii="Arial" w:hAnsi="Arial" w:cs="Arial"/>
          <w:b/>
          <w:bCs/>
          <w:sz w:val="24"/>
          <w:szCs w:val="24"/>
        </w:rPr>
      </w:pPr>
      <w:r>
        <w:rPr>
          <w:rFonts w:ascii="Arial" w:hAnsi="Arial" w:cs="Arial"/>
          <w:b/>
          <w:bCs/>
          <w:sz w:val="24"/>
          <w:szCs w:val="24"/>
        </w:rPr>
        <w:t>Članak 2.</w:t>
      </w:r>
    </w:p>
    <w:p w14:paraId="5D3234F4" w14:textId="77777777" w:rsidR="00EC10B0" w:rsidRDefault="00EC10B0" w:rsidP="00EC10B0"/>
    <w:p w14:paraId="6A264EA1" w14:textId="77777777" w:rsidR="00EC10B0" w:rsidRPr="00450B9B" w:rsidRDefault="00EC10B0" w:rsidP="00EC10B0">
      <w:pPr>
        <w:rPr>
          <w:rFonts w:ascii="Arial" w:hAnsi="Arial" w:cs="Arial"/>
          <w:sz w:val="24"/>
          <w:szCs w:val="24"/>
        </w:rPr>
      </w:pPr>
      <w:r w:rsidRPr="00450B9B">
        <w:rPr>
          <w:rFonts w:ascii="Arial" w:hAnsi="Arial" w:cs="Arial"/>
          <w:sz w:val="24"/>
          <w:szCs w:val="24"/>
        </w:rPr>
        <w:t>Prihodi i rashodi te primici i izdaci po ekonomskoj klasifikaciji, izvorima financiranja, te rashodi prema funkcijskoj klasifikaciji utvrđuju se u Računu prihoda i rashoda i računu financiranja, a ostvareni/izvršeni su, ka</w:t>
      </w:r>
      <w:r>
        <w:rPr>
          <w:rFonts w:ascii="Arial" w:hAnsi="Arial" w:cs="Arial"/>
          <w:sz w:val="24"/>
          <w:szCs w:val="24"/>
        </w:rPr>
        <w:t>k</w:t>
      </w:r>
      <w:r w:rsidRPr="00450B9B">
        <w:rPr>
          <w:rFonts w:ascii="Arial" w:hAnsi="Arial" w:cs="Arial"/>
          <w:sz w:val="24"/>
          <w:szCs w:val="24"/>
        </w:rPr>
        <w:t>o slijedi:</w:t>
      </w:r>
    </w:p>
    <w:p w14:paraId="5AA35618" w14:textId="77777777" w:rsidR="00EC10B0" w:rsidRDefault="00EC10B0" w:rsidP="00EC10B0"/>
    <w:p w14:paraId="61855E82" w14:textId="47A49D22" w:rsidR="00EC10B0" w:rsidRDefault="00EC10B0">
      <w:pPr>
        <w:rPr>
          <w:rFonts w:ascii="Arial" w:hAnsi="Arial" w:cs="Arial"/>
          <w:sz w:val="24"/>
          <w:szCs w:val="24"/>
        </w:rPr>
      </w:pPr>
      <w:r>
        <w:rPr>
          <w:rFonts w:ascii="Arial" w:hAnsi="Arial" w:cs="Arial"/>
          <w:sz w:val="24"/>
          <w:szCs w:val="24"/>
        </w:rPr>
        <w:br w:type="page"/>
      </w:r>
    </w:p>
    <w:p w14:paraId="0EEE0D98" w14:textId="77777777" w:rsidR="002150EB" w:rsidRDefault="002150EB">
      <w:pPr>
        <w:rPr>
          <w:rFonts w:ascii="Arial" w:hAnsi="Arial" w:cs="Arial"/>
          <w:sz w:val="24"/>
          <w:szCs w:val="24"/>
        </w:rPr>
        <w:sectPr w:rsidR="002150EB" w:rsidSect="00D97537">
          <w:pgSz w:w="11906" w:h="16838"/>
          <w:pgMar w:top="851" w:right="567" w:bottom="851" w:left="567" w:header="709" w:footer="709" w:gutter="0"/>
          <w:cols w:space="708"/>
          <w:docGrid w:linePitch="360"/>
        </w:sectPr>
      </w:pP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F711DE" w:rsidRPr="00F711DE" w14:paraId="0C9A2278"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0C6B549F" w14:textId="77777777" w:rsidR="00F711DE" w:rsidRPr="00F711DE" w:rsidRDefault="00F711DE" w:rsidP="00F711DE">
            <w:pPr>
              <w:spacing w:after="0" w:line="240" w:lineRule="auto"/>
              <w:rPr>
                <w:rFonts w:ascii="Aptos Narrow" w:eastAsia="Aptos" w:hAnsi="Aptos Narrow" w:cs="Times New Roman"/>
                <w:b/>
                <w:bCs/>
                <w:color w:val="000000"/>
                <w:sz w:val="36"/>
                <w:szCs w:val="36"/>
              </w:rPr>
            </w:pPr>
            <w:r w:rsidRPr="00F711DE">
              <w:rPr>
                <w:rFonts w:ascii="Aptos Narrow" w:eastAsia="Aptos" w:hAnsi="Aptos Narrow" w:cs="Times New Roman"/>
                <w:b/>
                <w:bCs/>
                <w:color w:val="000000"/>
                <w:sz w:val="36"/>
                <w:szCs w:val="36"/>
              </w:rPr>
              <w:lastRenderedPageBreak/>
              <w:t>Proračun 2026.</w:t>
            </w:r>
          </w:p>
        </w:tc>
      </w:tr>
      <w:tr w:rsidR="00F711DE" w:rsidRPr="00F711DE" w14:paraId="11DAA2E1"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10290CBF" w14:textId="77777777" w:rsidR="00F711DE" w:rsidRPr="00F711DE" w:rsidRDefault="00F711DE" w:rsidP="00F711DE">
            <w:pPr>
              <w:spacing w:after="0" w:line="240" w:lineRule="auto"/>
              <w:rPr>
                <w:rFonts w:ascii="Aptos Narrow" w:eastAsia="Aptos" w:hAnsi="Aptos Narrow" w:cs="Times New Roman"/>
                <w:color w:val="000000"/>
                <w:sz w:val="28"/>
                <w:szCs w:val="28"/>
              </w:rPr>
            </w:pPr>
            <w:r w:rsidRPr="00F711DE">
              <w:rPr>
                <w:rFonts w:ascii="Aptos Narrow" w:eastAsia="Aptos" w:hAnsi="Aptos Narrow" w:cs="Times New Roman"/>
                <w:color w:val="000000"/>
                <w:sz w:val="28"/>
                <w:szCs w:val="28"/>
              </w:rPr>
              <w:t>A. RAČUN PRIHODA I RASHODA</w:t>
            </w:r>
          </w:p>
        </w:tc>
      </w:tr>
      <w:tr w:rsidR="00F711DE" w:rsidRPr="00F711DE" w14:paraId="2981D2E4"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0BA73AA7" w14:textId="77777777" w:rsidR="00F711DE" w:rsidRPr="00F711DE" w:rsidRDefault="00F711DE" w:rsidP="00F711DE">
            <w:pPr>
              <w:spacing w:after="0" w:line="240" w:lineRule="auto"/>
              <w:rPr>
                <w:rFonts w:ascii="Aptos Narrow" w:eastAsia="Aptos" w:hAnsi="Aptos Narrow" w:cs="Times New Roman"/>
                <w:color w:val="000000"/>
                <w:sz w:val="28"/>
                <w:szCs w:val="28"/>
              </w:rPr>
            </w:pPr>
            <w:r w:rsidRPr="00F711DE">
              <w:rPr>
                <w:rFonts w:ascii="Aptos Narrow" w:eastAsia="Aptos" w:hAnsi="Aptos Narrow" w:cs="Times New Roman"/>
                <w:color w:val="000000"/>
                <w:sz w:val="28"/>
                <w:szCs w:val="28"/>
              </w:rPr>
              <w:t>A1. PRIHODI I RASHODI PREMA EKONOMSKOJ KLASIFIKACIJI - PRIHODI</w:t>
            </w:r>
          </w:p>
        </w:tc>
      </w:tr>
      <w:tr w:rsidR="00F711DE" w:rsidRPr="00F711DE" w14:paraId="59D76C68"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74842D79" w14:textId="77777777" w:rsidR="00F711DE" w:rsidRPr="00F711DE" w:rsidRDefault="00F711DE" w:rsidP="00F711DE">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0DD16116" w14:textId="77777777" w:rsidR="00F711DE" w:rsidRPr="00F711DE" w:rsidRDefault="00F711DE" w:rsidP="00F711DE">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8652A6" w14:textId="77777777" w:rsidR="00F711DE" w:rsidRPr="00F711DE" w:rsidRDefault="00F711DE" w:rsidP="00F711DE">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01D72FD" w14:textId="77777777" w:rsidR="00F711DE" w:rsidRPr="00F711DE" w:rsidRDefault="00F711DE" w:rsidP="00F711DE">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D10EBB" w14:textId="77777777" w:rsidR="00F711DE" w:rsidRPr="00F711DE" w:rsidRDefault="00F711DE" w:rsidP="00F711DE">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2EE5F7" w14:textId="77777777" w:rsidR="00F711DE" w:rsidRPr="00F711DE" w:rsidRDefault="00F711DE" w:rsidP="00F711DE">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38F9E4" w14:textId="77777777" w:rsidR="00F711DE" w:rsidRPr="00F711DE" w:rsidRDefault="00F711DE" w:rsidP="00F711DE">
            <w:pPr>
              <w:spacing w:after="0" w:line="240" w:lineRule="auto"/>
              <w:jc w:val="right"/>
              <w:rPr>
                <w:rFonts w:ascii="Aptos" w:eastAsia="Aptos" w:hAnsi="Aptos" w:cs="Times New Roman"/>
                <w:sz w:val="20"/>
                <w:szCs w:val="20"/>
              </w:rPr>
            </w:pPr>
          </w:p>
        </w:tc>
      </w:tr>
      <w:tr w:rsidR="00F711DE" w:rsidRPr="00F711DE" w14:paraId="6A3B0E24"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866B4B0"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Račun</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72E94C9"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10EBC7C"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Izvršenje</w:t>
            </w:r>
            <w:r w:rsidRPr="00F711DE">
              <w:rPr>
                <w:rFonts w:ascii="Aptos Narrow" w:eastAsia="Aptos" w:hAnsi="Aptos Narrow" w:cs="Times New Roman"/>
                <w:color w:val="000000"/>
                <w:sz w:val="24"/>
                <w:szCs w:val="24"/>
              </w:rPr>
              <w:br/>
            </w:r>
            <w:r w:rsidRPr="00F711DE">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D61B63E"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Tekući plan</w:t>
            </w:r>
            <w:r w:rsidRPr="00F711DE">
              <w:rPr>
                <w:rFonts w:ascii="Aptos Narrow" w:eastAsia="Aptos" w:hAnsi="Aptos Narrow" w:cs="Times New Roman"/>
                <w:color w:val="000000"/>
                <w:sz w:val="24"/>
                <w:szCs w:val="24"/>
              </w:rPr>
              <w:br/>
            </w:r>
            <w:r w:rsidRPr="00F711DE">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8993028"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Plan</w:t>
            </w:r>
            <w:r w:rsidRPr="00F711DE">
              <w:rPr>
                <w:rFonts w:ascii="Aptos Narrow" w:eastAsia="Aptos" w:hAnsi="Aptos Narrow" w:cs="Times New Roman"/>
                <w:color w:val="000000"/>
                <w:sz w:val="24"/>
                <w:szCs w:val="24"/>
              </w:rPr>
              <w:br/>
            </w:r>
            <w:r w:rsidRPr="00F711DE">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7D93AE2"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 xml:space="preserve">Projekcija </w:t>
            </w:r>
            <w:r w:rsidRPr="00F711DE">
              <w:rPr>
                <w:rFonts w:ascii="Aptos Narrow" w:eastAsia="Aptos" w:hAnsi="Aptos Narrow" w:cs="Times New Roman"/>
                <w:color w:val="000000"/>
                <w:sz w:val="24"/>
                <w:szCs w:val="24"/>
              </w:rPr>
              <w:br/>
            </w:r>
            <w:r w:rsidRPr="00F711DE">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3B4CD77" w14:textId="77777777" w:rsidR="00F711DE" w:rsidRPr="00F711DE" w:rsidRDefault="00F711DE" w:rsidP="00F711DE">
            <w:pPr>
              <w:spacing w:after="0" w:line="240" w:lineRule="auto"/>
              <w:jc w:val="center"/>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 xml:space="preserve">Projekcija </w:t>
            </w:r>
            <w:r w:rsidRPr="00F711DE">
              <w:rPr>
                <w:rFonts w:ascii="Aptos Narrow" w:eastAsia="Aptos" w:hAnsi="Aptos Narrow" w:cs="Times New Roman"/>
                <w:color w:val="000000"/>
                <w:sz w:val="24"/>
                <w:szCs w:val="24"/>
              </w:rPr>
              <w:br/>
            </w:r>
            <w:r w:rsidRPr="00F711DE">
              <w:rPr>
                <w:rFonts w:ascii="Aptos Narrow" w:eastAsia="Aptos" w:hAnsi="Aptos Narrow" w:cs="Times New Roman"/>
                <w:color w:val="000000"/>
                <w:sz w:val="24"/>
                <w:szCs w:val="24"/>
              </w:rPr>
              <w:br/>
              <w:t>2028</w:t>
            </w:r>
          </w:p>
        </w:tc>
      </w:tr>
      <w:tr w:rsidR="00F711DE" w:rsidRPr="00F711DE" w14:paraId="0C6E3E7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9A78F4" w14:textId="77777777" w:rsidR="00F711DE" w:rsidRPr="00F711DE" w:rsidRDefault="00F711DE" w:rsidP="00F711DE">
            <w:pPr>
              <w:spacing w:after="0" w:line="240" w:lineRule="auto"/>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6</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1F2ED7" w14:textId="77777777" w:rsidR="00F711DE" w:rsidRPr="00F711DE" w:rsidRDefault="00F711DE" w:rsidP="00F711DE">
            <w:pPr>
              <w:spacing w:after="0" w:line="240" w:lineRule="auto"/>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Prihodi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54ADE0"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6.703.745,68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9F0D97"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10.865.061,18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D941EF"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9.751.351,39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C32CD6"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8.288.114,25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9C04BA"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7.940.456,65</w:t>
            </w:r>
          </w:p>
        </w:tc>
      </w:tr>
      <w:tr w:rsidR="00F711DE" w:rsidRPr="00F711DE" w14:paraId="3149D84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604954"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EA0864"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Prihodi od poreza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094F4"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2.287.133,74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6F506C"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2.739.835,09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6D1BC6"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3.364.282,87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CF3AEB"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2.965.799,53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1427DB"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2.797.911,50</w:t>
            </w:r>
          </w:p>
        </w:tc>
      </w:tr>
      <w:tr w:rsidR="00F711DE" w:rsidRPr="00F711DE" w14:paraId="0FB5A15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FAB57D"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11883A"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Pomoći iz inozemstva i od subjekata unutar općeg proračuna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A3F0D0"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3.460.552,66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5A29F0"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6.921.673,97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07B5E0"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5.151.705,33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D93C7A"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4.080.774,72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F1CF97"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3.894.828,32</w:t>
            </w:r>
          </w:p>
        </w:tc>
      </w:tr>
      <w:tr w:rsidR="00F711DE" w:rsidRPr="00F711DE" w14:paraId="5D7B74E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FB0CAD"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2217AC"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Prihodi od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F2FE9E"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438.947,42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1EEB23"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496.471,73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2F5B61"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525.032,28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D184E3"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527.657,44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E3BAA1"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530.282,61</w:t>
            </w:r>
          </w:p>
        </w:tc>
      </w:tr>
      <w:tr w:rsidR="00F711DE" w:rsidRPr="00F711DE" w14:paraId="2964C5E7" w14:textId="77777777" w:rsidTr="005B5D4C">
        <w:trPr>
          <w:trHeight w:val="495"/>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3F8CAA"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04470C"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Prihodi od upravnih i administrativnih pristojbi, pristojbi po posebnim propisima i naknada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2689C6"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480.403,57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8058DB"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629.455,46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DDA0ED"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652.030,91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7375FE"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655.291,06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827F92"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658.551,22</w:t>
            </w:r>
          </w:p>
        </w:tc>
      </w:tr>
      <w:tr w:rsidR="00F711DE" w:rsidRPr="00F711DE" w14:paraId="49707364" w14:textId="77777777" w:rsidTr="005B5D4C">
        <w:trPr>
          <w:trHeight w:val="495"/>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08FBCC"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66</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B08E05"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Prihodi od prodaje proizvoda i robe te pruženih usluga, prihodi od donacija te povrati po protestiranim jamstvima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455442"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33.355,75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BE427E"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60.300,00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099F6E"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40.300,00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363FFD"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40.501,50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419EA9"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40.703,00</w:t>
            </w:r>
          </w:p>
        </w:tc>
      </w:tr>
      <w:tr w:rsidR="00F711DE" w:rsidRPr="00F711DE" w14:paraId="1BB47D1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078D6E"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68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C9A774"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Kazne, upravne mjere i ostali prihodi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29D598"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3.352,54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F41ADD"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17.324,93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B74051"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2B2776"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18.090,00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95B102"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18.180,00</w:t>
            </w:r>
          </w:p>
        </w:tc>
      </w:tr>
      <w:tr w:rsidR="00F711DE" w:rsidRPr="00F711DE" w14:paraId="5CCF34D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2F62EC" w14:textId="77777777" w:rsidR="00F711DE" w:rsidRPr="00F711DE" w:rsidRDefault="00F711DE" w:rsidP="00F711DE">
            <w:pPr>
              <w:spacing w:after="0" w:line="240" w:lineRule="auto"/>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F2DED7" w14:textId="77777777" w:rsidR="00F711DE" w:rsidRPr="00F711DE" w:rsidRDefault="00F711DE" w:rsidP="00F711DE">
            <w:pPr>
              <w:spacing w:after="0" w:line="240" w:lineRule="auto"/>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Prihodi od prodaje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5B8F30"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100.743,92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90D6F0"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151.300,00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929F5C"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151.300,00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F87519"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152.056,50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B11069" w14:textId="77777777" w:rsidR="00F711DE" w:rsidRPr="00F711DE" w:rsidRDefault="00F711DE" w:rsidP="00F711DE">
            <w:pPr>
              <w:spacing w:after="0" w:line="240" w:lineRule="auto"/>
              <w:jc w:val="right"/>
              <w:rPr>
                <w:rFonts w:ascii="Aptos Narrow" w:eastAsia="Aptos" w:hAnsi="Aptos Narrow" w:cs="Times New Roman"/>
                <w:b/>
                <w:bCs/>
                <w:color w:val="000000"/>
                <w:sz w:val="20"/>
                <w:szCs w:val="20"/>
              </w:rPr>
            </w:pPr>
            <w:r w:rsidRPr="00F711DE">
              <w:rPr>
                <w:rFonts w:ascii="Aptos Narrow" w:eastAsia="Aptos" w:hAnsi="Aptos Narrow" w:cs="Times New Roman"/>
                <w:b/>
                <w:bCs/>
                <w:color w:val="000000"/>
                <w:sz w:val="20"/>
                <w:szCs w:val="20"/>
              </w:rPr>
              <w:t>152.813,00</w:t>
            </w:r>
          </w:p>
        </w:tc>
      </w:tr>
      <w:tr w:rsidR="00F711DE" w:rsidRPr="00F711DE" w14:paraId="5515AC8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2A9B0F"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71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8B5375"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Prihodi od prodaje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0D9483"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100.627,14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07135F"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7EFCAD"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B05888"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140.700,00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413185"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141.400,00</w:t>
            </w:r>
          </w:p>
        </w:tc>
      </w:tr>
      <w:tr w:rsidR="00F711DE" w:rsidRPr="00F711DE" w14:paraId="55A7106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88C8EE"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72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11F0B" w14:textId="77777777" w:rsidR="00F711DE" w:rsidRPr="00F711DE" w:rsidRDefault="00F711DE" w:rsidP="00F711DE">
            <w:pPr>
              <w:spacing w:after="0" w:line="240" w:lineRule="auto"/>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Prihodi od prodaje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608E8A"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116,78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48F7AF"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11.300,00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52CD37"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11.300,00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978C40"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11.356,50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EC41D9" w14:textId="77777777" w:rsidR="00F711DE" w:rsidRPr="00F711DE" w:rsidRDefault="00F711DE" w:rsidP="00F711DE">
            <w:pPr>
              <w:spacing w:after="0" w:line="240" w:lineRule="auto"/>
              <w:jc w:val="right"/>
              <w:rPr>
                <w:rFonts w:ascii="Aptos Narrow" w:eastAsia="Aptos" w:hAnsi="Aptos Narrow" w:cs="Times New Roman"/>
                <w:color w:val="000000"/>
                <w:sz w:val="18"/>
                <w:szCs w:val="18"/>
              </w:rPr>
            </w:pPr>
            <w:r w:rsidRPr="00F711DE">
              <w:rPr>
                <w:rFonts w:ascii="Aptos Narrow" w:eastAsia="Aptos" w:hAnsi="Aptos Narrow" w:cs="Times New Roman"/>
                <w:color w:val="000000"/>
                <w:sz w:val="18"/>
                <w:szCs w:val="18"/>
              </w:rPr>
              <w:t>11.413,00</w:t>
            </w:r>
          </w:p>
        </w:tc>
      </w:tr>
      <w:tr w:rsidR="00F711DE" w:rsidRPr="00F711DE" w14:paraId="5FB8D198" w14:textId="77777777" w:rsidTr="005B5D4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52E0356" w14:textId="77777777" w:rsidR="00F711DE" w:rsidRPr="00F711DE" w:rsidRDefault="00F711DE" w:rsidP="00F711DE">
            <w:pPr>
              <w:spacing w:after="0" w:line="240" w:lineRule="auto"/>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SVEUKUPNO</w:t>
            </w:r>
          </w:p>
        </w:tc>
        <w:tc>
          <w:tcPr>
            <w:tcW w:w="586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142B6A2" w14:textId="77777777" w:rsidR="00F711DE" w:rsidRPr="00F711DE" w:rsidRDefault="00F711DE" w:rsidP="00F711DE">
            <w:pPr>
              <w:spacing w:after="0" w:line="240" w:lineRule="auto"/>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7654E21" w14:textId="77777777" w:rsidR="00F711DE" w:rsidRPr="00F711DE" w:rsidRDefault="00F711DE" w:rsidP="00F711DE">
            <w:pPr>
              <w:spacing w:after="0" w:line="240" w:lineRule="auto"/>
              <w:jc w:val="right"/>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6.804.489,60</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4730355" w14:textId="77777777" w:rsidR="00F711DE" w:rsidRPr="00F711DE" w:rsidRDefault="00F711DE" w:rsidP="00F711DE">
            <w:pPr>
              <w:spacing w:after="0" w:line="240" w:lineRule="auto"/>
              <w:jc w:val="right"/>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11.016.361,18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B53A852" w14:textId="77777777" w:rsidR="00F711DE" w:rsidRPr="00F711DE" w:rsidRDefault="00F711DE" w:rsidP="00F711DE">
            <w:pPr>
              <w:spacing w:after="0" w:line="240" w:lineRule="auto"/>
              <w:jc w:val="right"/>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9.902.651,39</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336D46D4" w14:textId="77777777" w:rsidR="00F711DE" w:rsidRPr="00F711DE" w:rsidRDefault="00F711DE" w:rsidP="00F711DE">
            <w:pPr>
              <w:spacing w:after="0" w:line="240" w:lineRule="auto"/>
              <w:jc w:val="right"/>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8.440.170,75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2430238" w14:textId="77777777" w:rsidR="00F711DE" w:rsidRPr="00F711DE" w:rsidRDefault="00F711DE" w:rsidP="00F711DE">
            <w:pPr>
              <w:spacing w:after="0" w:line="240" w:lineRule="auto"/>
              <w:jc w:val="right"/>
              <w:rPr>
                <w:rFonts w:ascii="Aptos Narrow" w:eastAsia="Aptos" w:hAnsi="Aptos Narrow" w:cs="Times New Roman"/>
                <w:color w:val="000000"/>
                <w:sz w:val="24"/>
                <w:szCs w:val="24"/>
              </w:rPr>
            </w:pPr>
            <w:r w:rsidRPr="00F711DE">
              <w:rPr>
                <w:rFonts w:ascii="Aptos Narrow" w:eastAsia="Aptos" w:hAnsi="Aptos Narrow" w:cs="Times New Roman"/>
                <w:color w:val="000000"/>
                <w:sz w:val="24"/>
                <w:szCs w:val="24"/>
              </w:rPr>
              <w:t>8.093.269,65</w:t>
            </w:r>
          </w:p>
        </w:tc>
      </w:tr>
    </w:tbl>
    <w:p w14:paraId="504D975A" w14:textId="77777777" w:rsidR="00F711DE" w:rsidRPr="00F711DE" w:rsidRDefault="00F711DE" w:rsidP="00F711DE">
      <w:pPr>
        <w:spacing w:after="0" w:line="240" w:lineRule="auto"/>
        <w:rPr>
          <w:rFonts w:ascii="Aptos" w:eastAsia="Aptos" w:hAnsi="Aptos" w:cs="Times New Roman"/>
          <w:sz w:val="24"/>
          <w:szCs w:val="24"/>
        </w:rPr>
      </w:pPr>
    </w:p>
    <w:p w14:paraId="112CEEFB" w14:textId="41AEA8BF" w:rsidR="00F711DE" w:rsidRDefault="00F711DE">
      <w:pPr>
        <w:rPr>
          <w:rFonts w:ascii="Arial" w:hAnsi="Arial" w:cs="Arial"/>
          <w:sz w:val="24"/>
          <w:szCs w:val="24"/>
        </w:rPr>
      </w:pPr>
      <w:r>
        <w:rPr>
          <w:rFonts w:ascii="Arial" w:hAnsi="Arial" w:cs="Arial"/>
          <w:sz w:val="24"/>
          <w:szCs w:val="24"/>
        </w:rPr>
        <w:br w:type="page"/>
      </w: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3A2753" w:rsidRPr="003A2753" w14:paraId="624DC838"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7E0A0AD0" w14:textId="77777777" w:rsidR="003A2753" w:rsidRPr="003A2753" w:rsidRDefault="003A2753" w:rsidP="003A2753">
            <w:pPr>
              <w:spacing w:after="0" w:line="240" w:lineRule="auto"/>
              <w:rPr>
                <w:rFonts w:ascii="Aptos Narrow" w:eastAsia="Aptos" w:hAnsi="Aptos Narrow" w:cs="Times New Roman"/>
                <w:b/>
                <w:bCs/>
                <w:color w:val="000000"/>
                <w:sz w:val="36"/>
                <w:szCs w:val="36"/>
              </w:rPr>
            </w:pPr>
            <w:r w:rsidRPr="003A2753">
              <w:rPr>
                <w:rFonts w:ascii="Aptos Narrow" w:eastAsia="Aptos" w:hAnsi="Aptos Narrow" w:cs="Times New Roman"/>
                <w:b/>
                <w:bCs/>
                <w:color w:val="000000"/>
                <w:sz w:val="36"/>
                <w:szCs w:val="36"/>
              </w:rPr>
              <w:lastRenderedPageBreak/>
              <w:t>Proračun 2026.</w:t>
            </w:r>
          </w:p>
        </w:tc>
      </w:tr>
      <w:tr w:rsidR="003A2753" w:rsidRPr="003A2753" w14:paraId="6EB913B9"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5D06F385" w14:textId="77777777" w:rsidR="003A2753" w:rsidRPr="003A2753" w:rsidRDefault="003A2753" w:rsidP="003A2753">
            <w:pPr>
              <w:spacing w:after="0" w:line="240" w:lineRule="auto"/>
              <w:rPr>
                <w:rFonts w:ascii="Aptos Narrow" w:eastAsia="Aptos" w:hAnsi="Aptos Narrow" w:cs="Times New Roman"/>
                <w:color w:val="000000"/>
                <w:sz w:val="28"/>
                <w:szCs w:val="28"/>
              </w:rPr>
            </w:pPr>
            <w:r w:rsidRPr="003A2753">
              <w:rPr>
                <w:rFonts w:ascii="Aptos Narrow" w:eastAsia="Aptos" w:hAnsi="Aptos Narrow" w:cs="Times New Roman"/>
                <w:color w:val="000000"/>
                <w:sz w:val="28"/>
                <w:szCs w:val="28"/>
              </w:rPr>
              <w:t>A. RAČUN PRIHODA I RASHODA</w:t>
            </w:r>
          </w:p>
        </w:tc>
      </w:tr>
      <w:tr w:rsidR="003A2753" w:rsidRPr="003A2753" w14:paraId="42F136B0"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4D369B50" w14:textId="77777777" w:rsidR="003A2753" w:rsidRPr="003A2753" w:rsidRDefault="003A2753" w:rsidP="003A2753">
            <w:pPr>
              <w:spacing w:after="0" w:line="240" w:lineRule="auto"/>
              <w:rPr>
                <w:rFonts w:ascii="Aptos Narrow" w:eastAsia="Aptos" w:hAnsi="Aptos Narrow" w:cs="Times New Roman"/>
                <w:color w:val="000000"/>
                <w:sz w:val="28"/>
                <w:szCs w:val="28"/>
              </w:rPr>
            </w:pPr>
            <w:r w:rsidRPr="003A2753">
              <w:rPr>
                <w:rFonts w:ascii="Aptos Narrow" w:eastAsia="Aptos" w:hAnsi="Aptos Narrow" w:cs="Times New Roman"/>
                <w:color w:val="000000"/>
                <w:sz w:val="28"/>
                <w:szCs w:val="28"/>
              </w:rPr>
              <w:t>A1. PRIHODI I RASHODI PREMA EKONOMSKOJ KLASIFIKACIJI - RASHODI</w:t>
            </w:r>
          </w:p>
        </w:tc>
      </w:tr>
      <w:tr w:rsidR="003A2753" w:rsidRPr="003A2753" w14:paraId="68D94F82"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3ACBC39F" w14:textId="77777777" w:rsidR="003A2753" w:rsidRPr="003A2753" w:rsidRDefault="003A2753" w:rsidP="003A2753">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361C81C1" w14:textId="77777777" w:rsidR="003A2753" w:rsidRPr="003A2753" w:rsidRDefault="003A2753" w:rsidP="003A2753">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AA9E87" w14:textId="77777777" w:rsidR="003A2753" w:rsidRPr="003A2753" w:rsidRDefault="003A2753" w:rsidP="003A2753">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90A3F1" w14:textId="77777777" w:rsidR="003A2753" w:rsidRPr="003A2753" w:rsidRDefault="003A2753" w:rsidP="003A2753">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EE3AFB" w14:textId="77777777" w:rsidR="003A2753" w:rsidRPr="003A2753" w:rsidRDefault="003A2753" w:rsidP="003A2753">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596E5A" w14:textId="77777777" w:rsidR="003A2753" w:rsidRPr="003A2753" w:rsidRDefault="003A2753" w:rsidP="003A2753">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EB2AE4" w14:textId="77777777" w:rsidR="003A2753" w:rsidRPr="003A2753" w:rsidRDefault="003A2753" w:rsidP="003A2753">
            <w:pPr>
              <w:spacing w:after="0" w:line="240" w:lineRule="auto"/>
              <w:jc w:val="right"/>
              <w:rPr>
                <w:rFonts w:ascii="Aptos" w:eastAsia="Aptos" w:hAnsi="Aptos" w:cs="Times New Roman"/>
                <w:sz w:val="20"/>
                <w:szCs w:val="20"/>
              </w:rPr>
            </w:pPr>
          </w:p>
        </w:tc>
      </w:tr>
      <w:tr w:rsidR="003A2753" w:rsidRPr="003A2753" w14:paraId="029C8464"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3CC1088"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Račun</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6A3173B"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9BF2CF0"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Izvršenje</w:t>
            </w:r>
            <w:r w:rsidRPr="003A2753">
              <w:rPr>
                <w:rFonts w:ascii="Aptos Narrow" w:eastAsia="Aptos" w:hAnsi="Aptos Narrow" w:cs="Times New Roman"/>
                <w:color w:val="000000"/>
                <w:sz w:val="24"/>
                <w:szCs w:val="24"/>
              </w:rPr>
              <w:br/>
            </w:r>
            <w:r w:rsidRPr="003A2753">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62BF2CA"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Tekući plan</w:t>
            </w:r>
            <w:r w:rsidRPr="003A2753">
              <w:rPr>
                <w:rFonts w:ascii="Aptos Narrow" w:eastAsia="Aptos" w:hAnsi="Aptos Narrow" w:cs="Times New Roman"/>
                <w:color w:val="000000"/>
                <w:sz w:val="24"/>
                <w:szCs w:val="24"/>
              </w:rPr>
              <w:br/>
            </w:r>
            <w:r w:rsidRPr="003A2753">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F0E1609"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Plan</w:t>
            </w:r>
            <w:r w:rsidRPr="003A2753">
              <w:rPr>
                <w:rFonts w:ascii="Aptos Narrow" w:eastAsia="Aptos" w:hAnsi="Aptos Narrow" w:cs="Times New Roman"/>
                <w:color w:val="000000"/>
                <w:sz w:val="24"/>
                <w:szCs w:val="24"/>
              </w:rPr>
              <w:br/>
            </w:r>
            <w:r w:rsidRPr="003A2753">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A702B44"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 xml:space="preserve">Projekcija </w:t>
            </w:r>
            <w:r w:rsidRPr="003A2753">
              <w:rPr>
                <w:rFonts w:ascii="Aptos Narrow" w:eastAsia="Aptos" w:hAnsi="Aptos Narrow" w:cs="Times New Roman"/>
                <w:color w:val="000000"/>
                <w:sz w:val="24"/>
                <w:szCs w:val="24"/>
              </w:rPr>
              <w:br/>
            </w:r>
            <w:r w:rsidRPr="003A2753">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C389AEE" w14:textId="77777777" w:rsidR="003A2753" w:rsidRPr="003A2753" w:rsidRDefault="003A2753" w:rsidP="003A2753">
            <w:pPr>
              <w:spacing w:after="0" w:line="240" w:lineRule="auto"/>
              <w:jc w:val="center"/>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 xml:space="preserve">Projekcija </w:t>
            </w:r>
            <w:r w:rsidRPr="003A2753">
              <w:rPr>
                <w:rFonts w:ascii="Aptos Narrow" w:eastAsia="Aptos" w:hAnsi="Aptos Narrow" w:cs="Times New Roman"/>
                <w:color w:val="000000"/>
                <w:sz w:val="24"/>
                <w:szCs w:val="24"/>
              </w:rPr>
              <w:br/>
            </w:r>
            <w:r w:rsidRPr="003A2753">
              <w:rPr>
                <w:rFonts w:ascii="Aptos Narrow" w:eastAsia="Aptos" w:hAnsi="Aptos Narrow" w:cs="Times New Roman"/>
                <w:color w:val="000000"/>
                <w:sz w:val="24"/>
                <w:szCs w:val="24"/>
              </w:rPr>
              <w:br/>
              <w:t>2028</w:t>
            </w:r>
          </w:p>
        </w:tc>
      </w:tr>
      <w:tr w:rsidR="003A2753" w:rsidRPr="003A2753" w14:paraId="40E2211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8FA155" w14:textId="77777777" w:rsidR="003A2753" w:rsidRPr="003A2753" w:rsidRDefault="003A2753" w:rsidP="003A2753">
            <w:pPr>
              <w:spacing w:after="0" w:line="240" w:lineRule="auto"/>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2D0BC8" w14:textId="77777777" w:rsidR="003A2753" w:rsidRPr="003A2753" w:rsidRDefault="003A2753" w:rsidP="003A2753">
            <w:pPr>
              <w:spacing w:after="0" w:line="240" w:lineRule="auto"/>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29B03B"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4.587.738,86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5A803B"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7.102.893,54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F62523"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7.210.974,41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FB710E"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6.865.316,75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2CE88C"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6.788.084,65</w:t>
            </w:r>
          </w:p>
        </w:tc>
      </w:tr>
      <w:tr w:rsidR="003A2753" w:rsidRPr="003A2753" w14:paraId="4919CF1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1D6912"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54A3F8"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231F10"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1.581.921,50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6B649B"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2.270.545,54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FF6634"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2.529.800,00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008ED7"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2.535.224,00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749F8D"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2.640.648,00</w:t>
            </w:r>
          </w:p>
        </w:tc>
      </w:tr>
      <w:tr w:rsidR="003A2753" w:rsidRPr="003A2753" w14:paraId="3D88909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29C020"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BC7C9E"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058FF1"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1.645.156,62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6FE285"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2.274.253,00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51FD94"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2.325.584,41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79FADE"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2.305.304,20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9A0A43"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2.313.569,55</w:t>
            </w:r>
          </w:p>
        </w:tc>
      </w:tr>
      <w:tr w:rsidR="003A2753" w:rsidRPr="003A2753" w14:paraId="5AAC171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FF28F"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A91B89"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922A78"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12.602,07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73ECF4"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28.410,00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55F853"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46.310,00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245E05"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46.541,55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37C5CD"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46.773,10</w:t>
            </w:r>
          </w:p>
        </w:tc>
      </w:tr>
      <w:tr w:rsidR="003A2753" w:rsidRPr="003A2753" w14:paraId="25C7E86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FEFAD1"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E8EA82"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795B1C"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179.582,15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A931DD"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EACC51"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274.500,00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AD21E2"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336.172,50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F9A8A8"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337.845,00</w:t>
            </w:r>
          </w:p>
        </w:tc>
      </w:tr>
      <w:tr w:rsidR="003A2753" w:rsidRPr="003A2753" w14:paraId="12DE13A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2CB508"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29AB0E"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9405EF"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246.929,54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B4A2F6"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316.700,00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DCA6A2"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353.000,00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F18AF0"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354.765,00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6BFD37"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356.530,00</w:t>
            </w:r>
          </w:p>
        </w:tc>
      </w:tr>
      <w:tr w:rsidR="003A2753" w:rsidRPr="003A2753" w14:paraId="3671C7C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A3C97F"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760E50"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0FF298"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921.546,98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DAA1C4"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1.812.485,00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7C88F0"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1.681.780,00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9E2385"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1.287.309,50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C59856"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1.092.719,00</w:t>
            </w:r>
          </w:p>
        </w:tc>
      </w:tr>
      <w:tr w:rsidR="003A2753" w:rsidRPr="003A2753" w14:paraId="7E418AF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08E68B" w14:textId="77777777" w:rsidR="003A2753" w:rsidRPr="003A2753" w:rsidRDefault="003A2753" w:rsidP="003A2753">
            <w:pPr>
              <w:spacing w:after="0" w:line="240" w:lineRule="auto"/>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813B82" w14:textId="77777777" w:rsidR="003A2753" w:rsidRPr="003A2753" w:rsidRDefault="003A2753" w:rsidP="003A2753">
            <w:pPr>
              <w:spacing w:after="0" w:line="240" w:lineRule="auto"/>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D4E257"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1.807.280,52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FBDD99"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6.724.215,00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71270D"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4.702.424,34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F3E9DA"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2.874.854,00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5F18A6" w14:textId="77777777" w:rsidR="003A2753" w:rsidRPr="003A2753" w:rsidRDefault="003A2753" w:rsidP="003A2753">
            <w:pPr>
              <w:spacing w:after="0" w:line="240" w:lineRule="auto"/>
              <w:jc w:val="right"/>
              <w:rPr>
                <w:rFonts w:ascii="Aptos Narrow" w:eastAsia="Aptos" w:hAnsi="Aptos Narrow" w:cs="Times New Roman"/>
                <w:b/>
                <w:bCs/>
                <w:color w:val="000000"/>
                <w:sz w:val="20"/>
                <w:szCs w:val="20"/>
              </w:rPr>
            </w:pPr>
            <w:r w:rsidRPr="003A2753">
              <w:rPr>
                <w:rFonts w:ascii="Aptos Narrow" w:eastAsia="Aptos" w:hAnsi="Aptos Narrow" w:cs="Times New Roman"/>
                <w:b/>
                <w:bCs/>
                <w:color w:val="000000"/>
                <w:sz w:val="20"/>
                <w:szCs w:val="20"/>
              </w:rPr>
              <w:t>2.605.185,00</w:t>
            </w:r>
          </w:p>
        </w:tc>
      </w:tr>
      <w:tr w:rsidR="003A2753" w:rsidRPr="003A2753" w14:paraId="48B3DEA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7C3C75"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28268D"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5BC517"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231.963,08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A4E356"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338.000,00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B24E3A"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392.000,00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00E2B"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393.960,00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DC4E48"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395.920,00</w:t>
            </w:r>
          </w:p>
        </w:tc>
      </w:tr>
      <w:tr w:rsidR="003A2753" w:rsidRPr="003A2753" w14:paraId="105D819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14C83"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911F00"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5EFB93"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1.413.624,59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E5EF33"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5.559.215,00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16453A"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3.409.424,34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6AA9C6"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2.140.519,00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FFD365"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1.905.255,00</w:t>
            </w:r>
          </w:p>
        </w:tc>
      </w:tr>
      <w:tr w:rsidR="003A2753" w:rsidRPr="003A2753" w14:paraId="70CEBA8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4144A9"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F3FA2F" w14:textId="77777777" w:rsidR="003A2753" w:rsidRPr="003A2753" w:rsidRDefault="003A2753" w:rsidP="003A2753">
            <w:pPr>
              <w:spacing w:after="0" w:line="240" w:lineRule="auto"/>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D1C168"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161.692,85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F56E92"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827.000,00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9FD54B"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901.000,00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C67A8E"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340.375,00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589165" w14:textId="77777777" w:rsidR="003A2753" w:rsidRPr="003A2753" w:rsidRDefault="003A2753" w:rsidP="003A2753">
            <w:pPr>
              <w:spacing w:after="0" w:line="240" w:lineRule="auto"/>
              <w:jc w:val="right"/>
              <w:rPr>
                <w:rFonts w:ascii="Aptos Narrow" w:eastAsia="Aptos" w:hAnsi="Aptos Narrow" w:cs="Times New Roman"/>
                <w:color w:val="000000"/>
                <w:sz w:val="18"/>
                <w:szCs w:val="18"/>
              </w:rPr>
            </w:pPr>
            <w:r w:rsidRPr="003A2753">
              <w:rPr>
                <w:rFonts w:ascii="Aptos Narrow" w:eastAsia="Aptos" w:hAnsi="Aptos Narrow" w:cs="Times New Roman"/>
                <w:color w:val="000000"/>
                <w:sz w:val="18"/>
                <w:szCs w:val="18"/>
              </w:rPr>
              <w:t>304.010,00</w:t>
            </w:r>
          </w:p>
        </w:tc>
      </w:tr>
      <w:tr w:rsidR="003A2753" w:rsidRPr="003A2753" w14:paraId="3CCAA738" w14:textId="77777777" w:rsidTr="005B5D4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5D71AB9" w14:textId="77777777" w:rsidR="003A2753" w:rsidRPr="003A2753" w:rsidRDefault="003A2753" w:rsidP="003A2753">
            <w:pPr>
              <w:spacing w:after="0" w:line="240" w:lineRule="auto"/>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SVEUKUPNO</w:t>
            </w:r>
          </w:p>
        </w:tc>
        <w:tc>
          <w:tcPr>
            <w:tcW w:w="586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828F5E9" w14:textId="77777777" w:rsidR="003A2753" w:rsidRPr="003A2753" w:rsidRDefault="003A2753" w:rsidP="003A2753">
            <w:pPr>
              <w:spacing w:after="0" w:line="240" w:lineRule="auto"/>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66EC929" w14:textId="77777777" w:rsidR="003A2753" w:rsidRPr="003A2753" w:rsidRDefault="003A2753" w:rsidP="003A2753">
            <w:pPr>
              <w:spacing w:after="0" w:line="240" w:lineRule="auto"/>
              <w:jc w:val="right"/>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6.395.019,38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327D161" w14:textId="77777777" w:rsidR="003A2753" w:rsidRPr="003A2753" w:rsidRDefault="003A2753" w:rsidP="003A2753">
            <w:pPr>
              <w:spacing w:after="0" w:line="240" w:lineRule="auto"/>
              <w:jc w:val="right"/>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9986BE1" w14:textId="77777777" w:rsidR="003A2753" w:rsidRPr="003A2753" w:rsidRDefault="003A2753" w:rsidP="003A2753">
            <w:pPr>
              <w:spacing w:after="0" w:line="240" w:lineRule="auto"/>
              <w:jc w:val="right"/>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11.913.398,75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376F50F5" w14:textId="77777777" w:rsidR="003A2753" w:rsidRPr="003A2753" w:rsidRDefault="003A2753" w:rsidP="003A2753">
            <w:pPr>
              <w:spacing w:after="0" w:line="240" w:lineRule="auto"/>
              <w:jc w:val="right"/>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9.740.170,75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481A603" w14:textId="77777777" w:rsidR="003A2753" w:rsidRPr="003A2753" w:rsidRDefault="003A2753" w:rsidP="003A2753">
            <w:pPr>
              <w:spacing w:after="0" w:line="240" w:lineRule="auto"/>
              <w:jc w:val="right"/>
              <w:rPr>
                <w:rFonts w:ascii="Aptos Narrow" w:eastAsia="Aptos" w:hAnsi="Aptos Narrow" w:cs="Times New Roman"/>
                <w:color w:val="000000"/>
                <w:sz w:val="24"/>
                <w:szCs w:val="24"/>
              </w:rPr>
            </w:pPr>
            <w:r w:rsidRPr="003A2753">
              <w:rPr>
                <w:rFonts w:ascii="Aptos Narrow" w:eastAsia="Aptos" w:hAnsi="Aptos Narrow" w:cs="Times New Roman"/>
                <w:color w:val="000000"/>
                <w:sz w:val="24"/>
                <w:szCs w:val="24"/>
              </w:rPr>
              <w:t>9.393.269,65</w:t>
            </w:r>
          </w:p>
        </w:tc>
      </w:tr>
    </w:tbl>
    <w:p w14:paraId="457DD8EC" w14:textId="77777777" w:rsidR="003A2753" w:rsidRPr="003A2753" w:rsidRDefault="003A2753" w:rsidP="003A2753">
      <w:pPr>
        <w:spacing w:after="0" w:line="240" w:lineRule="auto"/>
        <w:rPr>
          <w:rFonts w:ascii="Aptos" w:eastAsia="Aptos" w:hAnsi="Aptos" w:cs="Times New Roman"/>
          <w:sz w:val="24"/>
          <w:szCs w:val="24"/>
        </w:rPr>
      </w:pPr>
    </w:p>
    <w:p w14:paraId="648C918F" w14:textId="2949C62B" w:rsidR="003A2753" w:rsidRDefault="003A2753">
      <w:pPr>
        <w:rPr>
          <w:rFonts w:ascii="Arial" w:hAnsi="Arial" w:cs="Arial"/>
          <w:sz w:val="24"/>
          <w:szCs w:val="24"/>
        </w:rPr>
      </w:pPr>
      <w:r>
        <w:rPr>
          <w:rFonts w:ascii="Arial" w:hAnsi="Arial" w:cs="Arial"/>
          <w:sz w:val="24"/>
          <w:szCs w:val="24"/>
        </w:rPr>
        <w:br w:type="page"/>
      </w: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603A98" w:rsidRPr="00603A98" w14:paraId="0EA8E17D"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25A0389F" w14:textId="77777777" w:rsidR="00603A98" w:rsidRPr="00603A98" w:rsidRDefault="00603A98" w:rsidP="00603A98">
            <w:pPr>
              <w:spacing w:after="0" w:line="240" w:lineRule="auto"/>
              <w:rPr>
                <w:rFonts w:ascii="Aptos Narrow" w:eastAsia="Aptos" w:hAnsi="Aptos Narrow" w:cs="Times New Roman"/>
                <w:b/>
                <w:bCs/>
                <w:color w:val="000000"/>
                <w:sz w:val="36"/>
                <w:szCs w:val="36"/>
              </w:rPr>
            </w:pPr>
            <w:r w:rsidRPr="00603A98">
              <w:rPr>
                <w:rFonts w:ascii="Aptos Narrow" w:eastAsia="Aptos" w:hAnsi="Aptos Narrow" w:cs="Times New Roman"/>
                <w:b/>
                <w:bCs/>
                <w:color w:val="000000"/>
                <w:sz w:val="36"/>
                <w:szCs w:val="36"/>
              </w:rPr>
              <w:lastRenderedPageBreak/>
              <w:t>Proračun 2026.</w:t>
            </w:r>
          </w:p>
        </w:tc>
      </w:tr>
      <w:tr w:rsidR="00603A98" w:rsidRPr="00603A98" w14:paraId="30FF457D"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7FDF34F3" w14:textId="77777777" w:rsidR="00603A98" w:rsidRPr="00603A98" w:rsidRDefault="00603A98" w:rsidP="00603A98">
            <w:pPr>
              <w:spacing w:after="0" w:line="240" w:lineRule="auto"/>
              <w:rPr>
                <w:rFonts w:ascii="Aptos Narrow" w:eastAsia="Aptos" w:hAnsi="Aptos Narrow" w:cs="Times New Roman"/>
                <w:color w:val="000000"/>
                <w:sz w:val="28"/>
                <w:szCs w:val="28"/>
              </w:rPr>
            </w:pPr>
            <w:r w:rsidRPr="00603A98">
              <w:rPr>
                <w:rFonts w:ascii="Aptos Narrow" w:eastAsia="Aptos" w:hAnsi="Aptos Narrow" w:cs="Times New Roman"/>
                <w:color w:val="000000"/>
                <w:sz w:val="28"/>
                <w:szCs w:val="28"/>
              </w:rPr>
              <w:t>A. RAČUN PRIHODA I RASHODA</w:t>
            </w:r>
          </w:p>
        </w:tc>
      </w:tr>
      <w:tr w:rsidR="00603A98" w:rsidRPr="00603A98" w14:paraId="0F003771"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4C19A5F3" w14:textId="77777777" w:rsidR="00603A98" w:rsidRPr="00603A98" w:rsidRDefault="00603A98" w:rsidP="00603A98">
            <w:pPr>
              <w:spacing w:after="0" w:line="240" w:lineRule="auto"/>
              <w:rPr>
                <w:rFonts w:ascii="Aptos Narrow" w:eastAsia="Aptos" w:hAnsi="Aptos Narrow" w:cs="Times New Roman"/>
                <w:color w:val="000000"/>
                <w:sz w:val="28"/>
                <w:szCs w:val="28"/>
              </w:rPr>
            </w:pPr>
            <w:r w:rsidRPr="00603A98">
              <w:rPr>
                <w:rFonts w:ascii="Aptos Narrow" w:eastAsia="Aptos" w:hAnsi="Aptos Narrow" w:cs="Times New Roman"/>
                <w:color w:val="000000"/>
                <w:sz w:val="28"/>
                <w:szCs w:val="28"/>
              </w:rPr>
              <w:t>A2. PRIHODI I RASHODI PREMA IZVORIMA FINANCIRANJA - PRIHODI</w:t>
            </w:r>
          </w:p>
        </w:tc>
      </w:tr>
      <w:tr w:rsidR="00603A98" w:rsidRPr="00603A98" w14:paraId="16AB5007"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165BAD90" w14:textId="77777777" w:rsidR="00603A98" w:rsidRPr="00603A98" w:rsidRDefault="00603A98" w:rsidP="00603A98">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561E3A0A" w14:textId="77777777" w:rsidR="00603A98" w:rsidRPr="00603A98" w:rsidRDefault="00603A98" w:rsidP="00603A98">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0A56B78" w14:textId="77777777" w:rsidR="00603A98" w:rsidRPr="00603A98" w:rsidRDefault="00603A98" w:rsidP="00603A98">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18D2A1" w14:textId="77777777" w:rsidR="00603A98" w:rsidRPr="00603A98" w:rsidRDefault="00603A98" w:rsidP="00603A98">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5543E0" w14:textId="77777777" w:rsidR="00603A98" w:rsidRPr="00603A98" w:rsidRDefault="00603A98" w:rsidP="00603A98">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19DCF7" w14:textId="77777777" w:rsidR="00603A98" w:rsidRPr="00603A98" w:rsidRDefault="00603A98" w:rsidP="00603A98">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3EBB7C" w14:textId="77777777" w:rsidR="00603A98" w:rsidRPr="00603A98" w:rsidRDefault="00603A98" w:rsidP="00603A98">
            <w:pPr>
              <w:spacing w:after="0" w:line="240" w:lineRule="auto"/>
              <w:jc w:val="right"/>
              <w:rPr>
                <w:rFonts w:ascii="Aptos" w:eastAsia="Aptos" w:hAnsi="Aptos" w:cs="Times New Roman"/>
                <w:sz w:val="20"/>
                <w:szCs w:val="20"/>
              </w:rPr>
            </w:pPr>
          </w:p>
        </w:tc>
      </w:tr>
      <w:tr w:rsidR="00603A98" w:rsidRPr="00603A98" w14:paraId="53721EF5"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529D710"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Izvor</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12C5554"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Naziv izvora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CD27386"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Izvršenje</w:t>
            </w:r>
            <w:r w:rsidRPr="00603A98">
              <w:rPr>
                <w:rFonts w:ascii="Aptos Narrow" w:eastAsia="Aptos" w:hAnsi="Aptos Narrow" w:cs="Times New Roman"/>
                <w:color w:val="000000"/>
                <w:sz w:val="24"/>
                <w:szCs w:val="24"/>
              </w:rPr>
              <w:br/>
            </w:r>
            <w:r w:rsidRPr="00603A98">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0A6A6D5"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Tekući plan</w:t>
            </w:r>
            <w:r w:rsidRPr="00603A98">
              <w:rPr>
                <w:rFonts w:ascii="Aptos Narrow" w:eastAsia="Aptos" w:hAnsi="Aptos Narrow" w:cs="Times New Roman"/>
                <w:color w:val="000000"/>
                <w:sz w:val="24"/>
                <w:szCs w:val="24"/>
              </w:rPr>
              <w:br/>
            </w:r>
            <w:r w:rsidRPr="00603A98">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45B1A56"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Plan</w:t>
            </w:r>
            <w:r w:rsidRPr="00603A98">
              <w:rPr>
                <w:rFonts w:ascii="Aptos Narrow" w:eastAsia="Aptos" w:hAnsi="Aptos Narrow" w:cs="Times New Roman"/>
                <w:color w:val="000000"/>
                <w:sz w:val="24"/>
                <w:szCs w:val="24"/>
              </w:rPr>
              <w:br/>
            </w:r>
            <w:r w:rsidRPr="00603A98">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60E30BB"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 xml:space="preserve">Projekcija </w:t>
            </w:r>
            <w:r w:rsidRPr="00603A98">
              <w:rPr>
                <w:rFonts w:ascii="Aptos Narrow" w:eastAsia="Aptos" w:hAnsi="Aptos Narrow" w:cs="Times New Roman"/>
                <w:color w:val="000000"/>
                <w:sz w:val="24"/>
                <w:szCs w:val="24"/>
              </w:rPr>
              <w:br/>
            </w:r>
            <w:r w:rsidRPr="00603A98">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9704775" w14:textId="77777777" w:rsidR="00603A98" w:rsidRPr="00603A98" w:rsidRDefault="00603A98" w:rsidP="00603A98">
            <w:pPr>
              <w:spacing w:after="0" w:line="240" w:lineRule="auto"/>
              <w:jc w:val="center"/>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 xml:space="preserve">Projekcija </w:t>
            </w:r>
            <w:r w:rsidRPr="00603A98">
              <w:rPr>
                <w:rFonts w:ascii="Aptos Narrow" w:eastAsia="Aptos" w:hAnsi="Aptos Narrow" w:cs="Times New Roman"/>
                <w:color w:val="000000"/>
                <w:sz w:val="24"/>
                <w:szCs w:val="24"/>
              </w:rPr>
              <w:br/>
            </w:r>
            <w:r w:rsidRPr="00603A98">
              <w:rPr>
                <w:rFonts w:ascii="Aptos Narrow" w:eastAsia="Aptos" w:hAnsi="Aptos Narrow" w:cs="Times New Roman"/>
                <w:color w:val="000000"/>
                <w:sz w:val="24"/>
                <w:szCs w:val="24"/>
              </w:rPr>
              <w:br/>
              <w:t>2028</w:t>
            </w:r>
          </w:p>
        </w:tc>
      </w:tr>
      <w:tr w:rsidR="00603A98" w:rsidRPr="00603A98" w14:paraId="65072F9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1A7378"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CCB3F5"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20B764"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2.589.968,36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2834B2"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5.111.579,55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7A6170"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3.737.678,15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F8D82E"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3.341.061,79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8A5C63"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3.175.040,74</w:t>
            </w:r>
          </w:p>
        </w:tc>
      </w:tr>
      <w:tr w:rsidR="00603A98" w:rsidRPr="00603A98" w14:paraId="0FF3BF4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B95D5D"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3FAAC0"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866C27"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2.589.968,36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EFFD4A"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5.111.579,55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D4FA0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3.737.678,15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88484A"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3.341.061,79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4A1AD2"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3.175.040,74</w:t>
            </w:r>
          </w:p>
        </w:tc>
      </w:tr>
      <w:tr w:rsidR="00603A98" w:rsidRPr="00603A98" w14:paraId="2955FC7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FD2012"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C404E4"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FC7B10"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30.755,75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0A05A8"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87C6C9"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E1F52C"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40.200,00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875F0C"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40.400,00</w:t>
            </w:r>
          </w:p>
        </w:tc>
      </w:tr>
      <w:tr w:rsidR="00603A98" w:rsidRPr="00603A98" w14:paraId="55B5A79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C34868"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BD9C30"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1DD88C"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30.755,75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09371F"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9465F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17CBE8"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F658B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40.400,00</w:t>
            </w:r>
          </w:p>
        </w:tc>
      </w:tr>
      <w:tr w:rsidR="00603A98" w:rsidRPr="00603A98" w14:paraId="152DE8B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EA25AA"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B3C93F"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3C2B3D"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617.604,34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538339"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815.407,66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DE0729"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825.567,91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C587A2"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829.695,74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F14696"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833.823,59</w:t>
            </w:r>
          </w:p>
        </w:tc>
      </w:tr>
      <w:tr w:rsidR="00603A98" w:rsidRPr="00603A98" w14:paraId="41D2D0D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44C66A"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7C8A80"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DA40F8"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351.955,91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FB364D"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468.107,66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5ED10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496.367,91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860E6C"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498.849,74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E4425E"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501.331,59</w:t>
            </w:r>
          </w:p>
        </w:tc>
      </w:tr>
      <w:tr w:rsidR="00603A98" w:rsidRPr="00603A98" w14:paraId="27B47C1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A18C09"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861242"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77316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254.452,12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AF754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343.300,00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328FA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325.200,00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BE3E3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326.826,00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653BD0"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328.452,00</w:t>
            </w:r>
          </w:p>
        </w:tc>
      </w:tr>
      <w:tr w:rsidR="00603A98" w:rsidRPr="00603A98" w14:paraId="6D8F2DB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0A77C5"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A1977B"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Ostali prihodi po posebnim propisima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3D3E80"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11.196,31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936EDF"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11279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28D01B"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4.020,00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C4662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4.040,00</w:t>
            </w:r>
          </w:p>
        </w:tc>
      </w:tr>
      <w:tr w:rsidR="00603A98" w:rsidRPr="00603A98" w14:paraId="4ECBE99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DADAD8"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5</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0A5E04"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C5BF94"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3.460.552,66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5381FB"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4.881.673,97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AE65B4"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5.151.705,33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809D67"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4.080.774,72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2371A7"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3.894.828,32</w:t>
            </w:r>
          </w:p>
        </w:tc>
      </w:tr>
      <w:tr w:rsidR="00603A98" w:rsidRPr="00603A98" w14:paraId="326A689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CDEC9F"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FB7FA2"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5C24AB"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354.949,63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F7A48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418.490,46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6F211D"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374.138,00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56221D"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376.008,69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677E7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377.879,38</w:t>
            </w:r>
          </w:p>
        </w:tc>
      </w:tr>
      <w:tr w:rsidR="00603A98" w:rsidRPr="00603A98" w14:paraId="33744F2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3BB496"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8BB3C4"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Programi unije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7C0E70"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42CD4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CA20E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5CAD9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37.185,00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7C1668"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37.370,00</w:t>
            </w:r>
          </w:p>
        </w:tc>
      </w:tr>
      <w:tr w:rsidR="00603A98" w:rsidRPr="00603A98" w14:paraId="66DF9E8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0C5313"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DBB3B7"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8A515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3.068.932,62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5EDD9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3.561.278,51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675D5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3.313.211,44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74C61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3.112.076,03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DF76DC"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3.075.568,94</w:t>
            </w:r>
          </w:p>
        </w:tc>
      </w:tr>
      <w:tr w:rsidR="00603A98" w:rsidRPr="00603A98" w14:paraId="3159609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D17B42"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726121"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04F3C6"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36.670,41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08C307"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901.905,00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2EC40D"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171.000,00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23FEC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71.105,00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F16916"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121.210,00</w:t>
            </w:r>
          </w:p>
        </w:tc>
      </w:tr>
      <w:tr w:rsidR="00603A98" w:rsidRPr="00603A98" w14:paraId="0850620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DA399F"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E16346"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Fondovi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AA5E7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F662E2"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3C2A4E"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698.491,50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2FC0A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333.650,00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FDFFF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131.300,00</w:t>
            </w:r>
          </w:p>
        </w:tc>
      </w:tr>
      <w:tr w:rsidR="00603A98" w:rsidRPr="00603A98" w14:paraId="74A0D0F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CE2142"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58</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DEA29B"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Instrumenti EU nove generacije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10E36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F07C08"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D33B7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557.864,39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9C0D5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150.750,00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B840F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151.500,00</w:t>
            </w:r>
          </w:p>
        </w:tc>
      </w:tr>
      <w:tr w:rsidR="00603A98" w:rsidRPr="00603A98" w14:paraId="6B3627D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7E7FE1"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FCD241"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1AB03A"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2.600,00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E765C7"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30.300,00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3872C9"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986DA6"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301,50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B350F9"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303,00</w:t>
            </w:r>
          </w:p>
        </w:tc>
      </w:tr>
      <w:tr w:rsidR="00603A98" w:rsidRPr="00603A98" w14:paraId="2B7CBBF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A42719"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60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7CAD72"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16AD3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FF85F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C3726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07D3AC"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503E8F"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303,00</w:t>
            </w:r>
          </w:p>
        </w:tc>
      </w:tr>
      <w:tr w:rsidR="00603A98" w:rsidRPr="00603A98" w14:paraId="386D3F7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436ED5"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61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FFD080"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Namjenske 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EE805D"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BF3CAA"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87072C"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2AEC6A"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BC78A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0,00</w:t>
            </w:r>
          </w:p>
        </w:tc>
      </w:tr>
      <w:tr w:rsidR="00603A98" w:rsidRPr="00603A98" w14:paraId="15BB7BE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296777"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7</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731DE5" w14:textId="77777777" w:rsidR="00603A98" w:rsidRPr="00603A98" w:rsidRDefault="00603A98" w:rsidP="00603A98">
            <w:pPr>
              <w:spacing w:after="0" w:line="240" w:lineRule="auto"/>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4E8F9D"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103.008,49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E8676F"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147.400,00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D4C84B"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147.400,00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14BD37"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148.137,00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ABA3E6" w14:textId="77777777" w:rsidR="00603A98" w:rsidRPr="00603A98" w:rsidRDefault="00603A98" w:rsidP="00603A98">
            <w:pPr>
              <w:spacing w:after="0" w:line="240" w:lineRule="auto"/>
              <w:jc w:val="right"/>
              <w:rPr>
                <w:rFonts w:ascii="Aptos Narrow" w:eastAsia="Aptos" w:hAnsi="Aptos Narrow" w:cs="Times New Roman"/>
                <w:b/>
                <w:bCs/>
                <w:color w:val="000000"/>
                <w:sz w:val="20"/>
                <w:szCs w:val="20"/>
              </w:rPr>
            </w:pPr>
            <w:r w:rsidRPr="00603A98">
              <w:rPr>
                <w:rFonts w:ascii="Aptos Narrow" w:eastAsia="Aptos" w:hAnsi="Aptos Narrow" w:cs="Times New Roman"/>
                <w:b/>
                <w:bCs/>
                <w:color w:val="000000"/>
                <w:sz w:val="20"/>
                <w:szCs w:val="20"/>
              </w:rPr>
              <w:t>148.874,00</w:t>
            </w:r>
          </w:p>
        </w:tc>
      </w:tr>
      <w:tr w:rsidR="00603A98" w:rsidRPr="00603A98" w14:paraId="1593DBB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8C51F6"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70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312170"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DC7BB6"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533,53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82CD89"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13C122"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E5105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2.010,00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AFBA88"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2.020,00</w:t>
            </w:r>
          </w:p>
        </w:tc>
      </w:tr>
      <w:tr w:rsidR="00603A98" w:rsidRPr="00603A98" w14:paraId="0F21FFD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608299"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71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7F0B3C"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DEECF7"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98.258,39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359658"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D5AD45"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65213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131.956,50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B7D2E3"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132.613,00</w:t>
            </w:r>
          </w:p>
        </w:tc>
      </w:tr>
      <w:tr w:rsidR="00603A98" w:rsidRPr="00603A98" w14:paraId="55B4128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60CFD8"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72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126B28" w14:textId="77777777" w:rsidR="00603A98" w:rsidRPr="00603A98" w:rsidRDefault="00603A98" w:rsidP="00603A98">
            <w:pPr>
              <w:spacing w:after="0" w:line="240" w:lineRule="auto"/>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A5C7A1"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4.216,57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E84D1F"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E36BBC"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A90474"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14.170,50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1CCB67" w14:textId="77777777" w:rsidR="00603A98" w:rsidRPr="00603A98" w:rsidRDefault="00603A98" w:rsidP="00603A98">
            <w:pPr>
              <w:spacing w:after="0" w:line="240" w:lineRule="auto"/>
              <w:jc w:val="right"/>
              <w:rPr>
                <w:rFonts w:ascii="Aptos Narrow" w:eastAsia="Aptos" w:hAnsi="Aptos Narrow" w:cs="Times New Roman"/>
                <w:color w:val="000000"/>
                <w:sz w:val="18"/>
                <w:szCs w:val="18"/>
              </w:rPr>
            </w:pPr>
            <w:r w:rsidRPr="00603A98">
              <w:rPr>
                <w:rFonts w:ascii="Aptos Narrow" w:eastAsia="Aptos" w:hAnsi="Aptos Narrow" w:cs="Times New Roman"/>
                <w:color w:val="000000"/>
                <w:sz w:val="18"/>
                <w:szCs w:val="18"/>
              </w:rPr>
              <w:t>14.241,00</w:t>
            </w:r>
          </w:p>
        </w:tc>
      </w:tr>
      <w:tr w:rsidR="00603A98" w:rsidRPr="00603A98" w14:paraId="07D9E8DB" w14:textId="77777777" w:rsidTr="005B5D4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8376BED" w14:textId="77777777" w:rsidR="00603A98" w:rsidRPr="00603A98" w:rsidRDefault="00603A98" w:rsidP="00603A98">
            <w:pPr>
              <w:spacing w:after="0" w:line="240" w:lineRule="auto"/>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SVEUKUPNO</w:t>
            </w:r>
          </w:p>
        </w:tc>
        <w:tc>
          <w:tcPr>
            <w:tcW w:w="586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1346DB8" w14:textId="77777777" w:rsidR="00603A98" w:rsidRPr="00603A98" w:rsidRDefault="00603A98" w:rsidP="00603A98">
            <w:pPr>
              <w:spacing w:after="0" w:line="240" w:lineRule="auto"/>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361E0D1" w14:textId="77777777" w:rsidR="00603A98" w:rsidRPr="00603A98" w:rsidRDefault="00603A98" w:rsidP="00603A98">
            <w:pPr>
              <w:spacing w:after="0" w:line="240" w:lineRule="auto"/>
              <w:jc w:val="right"/>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6.804.489,60</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CFA9BE0" w14:textId="77777777" w:rsidR="00603A98" w:rsidRPr="00603A98" w:rsidRDefault="00603A98" w:rsidP="00603A98">
            <w:pPr>
              <w:spacing w:after="0" w:line="240" w:lineRule="auto"/>
              <w:jc w:val="right"/>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11.016.361,18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53ABF88" w14:textId="77777777" w:rsidR="00603A98" w:rsidRPr="00603A98" w:rsidRDefault="00603A98" w:rsidP="00603A98">
            <w:pPr>
              <w:spacing w:after="0" w:line="240" w:lineRule="auto"/>
              <w:jc w:val="right"/>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9.902.651,39</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9D2B89F" w14:textId="77777777" w:rsidR="00603A98" w:rsidRPr="00603A98" w:rsidRDefault="00603A98" w:rsidP="00603A98">
            <w:pPr>
              <w:spacing w:after="0" w:line="240" w:lineRule="auto"/>
              <w:jc w:val="right"/>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8.440.170,75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4017B09" w14:textId="77777777" w:rsidR="00603A98" w:rsidRPr="00603A98" w:rsidRDefault="00603A98" w:rsidP="00603A98">
            <w:pPr>
              <w:spacing w:after="0" w:line="240" w:lineRule="auto"/>
              <w:jc w:val="right"/>
              <w:rPr>
                <w:rFonts w:ascii="Aptos Narrow" w:eastAsia="Aptos" w:hAnsi="Aptos Narrow" w:cs="Times New Roman"/>
                <w:color w:val="000000"/>
                <w:sz w:val="24"/>
                <w:szCs w:val="24"/>
              </w:rPr>
            </w:pPr>
            <w:r w:rsidRPr="00603A98">
              <w:rPr>
                <w:rFonts w:ascii="Aptos Narrow" w:eastAsia="Aptos" w:hAnsi="Aptos Narrow" w:cs="Times New Roman"/>
                <w:color w:val="000000"/>
                <w:sz w:val="24"/>
                <w:szCs w:val="24"/>
              </w:rPr>
              <w:t>8.093.269,65</w:t>
            </w:r>
          </w:p>
        </w:tc>
      </w:tr>
    </w:tbl>
    <w:p w14:paraId="4DC6D234" w14:textId="77777777" w:rsidR="00603A98" w:rsidRPr="00603A98" w:rsidRDefault="00603A98" w:rsidP="00603A98">
      <w:pPr>
        <w:spacing w:after="0" w:line="240" w:lineRule="auto"/>
        <w:rPr>
          <w:rFonts w:ascii="Aptos" w:eastAsia="Aptos" w:hAnsi="Aptos" w:cs="Times New Roman"/>
          <w:sz w:val="24"/>
          <w:szCs w:val="24"/>
        </w:rPr>
      </w:pPr>
    </w:p>
    <w:p w14:paraId="0E4430C6" w14:textId="4AEA7191" w:rsidR="00603A98" w:rsidRDefault="00603A98">
      <w:pPr>
        <w:rPr>
          <w:rFonts w:ascii="Arial" w:hAnsi="Arial" w:cs="Arial"/>
          <w:sz w:val="24"/>
          <w:szCs w:val="24"/>
        </w:rPr>
      </w:pPr>
      <w:r>
        <w:rPr>
          <w:rFonts w:ascii="Arial" w:hAnsi="Arial" w:cs="Arial"/>
          <w:sz w:val="24"/>
          <w:szCs w:val="24"/>
        </w:rPr>
        <w:br w:type="page"/>
      </w: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CD512C" w:rsidRPr="00CD512C" w14:paraId="197273E9"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027D3BF9" w14:textId="77777777" w:rsidR="00CD512C" w:rsidRPr="00CD512C" w:rsidRDefault="00CD512C" w:rsidP="00CD512C">
            <w:pPr>
              <w:spacing w:after="0" w:line="240" w:lineRule="auto"/>
              <w:rPr>
                <w:rFonts w:ascii="Aptos Narrow" w:eastAsia="Aptos" w:hAnsi="Aptos Narrow" w:cs="Times New Roman"/>
                <w:b/>
                <w:bCs/>
                <w:color w:val="000000"/>
                <w:sz w:val="36"/>
                <w:szCs w:val="36"/>
              </w:rPr>
            </w:pPr>
            <w:r w:rsidRPr="00CD512C">
              <w:rPr>
                <w:rFonts w:ascii="Aptos Narrow" w:eastAsia="Aptos" w:hAnsi="Aptos Narrow" w:cs="Times New Roman"/>
                <w:b/>
                <w:bCs/>
                <w:color w:val="000000"/>
                <w:sz w:val="36"/>
                <w:szCs w:val="36"/>
              </w:rPr>
              <w:lastRenderedPageBreak/>
              <w:t>Proračun 2026.</w:t>
            </w:r>
          </w:p>
        </w:tc>
      </w:tr>
      <w:tr w:rsidR="00CD512C" w:rsidRPr="00CD512C" w14:paraId="546FB51B"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56D56AD1" w14:textId="77777777" w:rsidR="00CD512C" w:rsidRPr="00CD512C" w:rsidRDefault="00CD512C" w:rsidP="00CD512C">
            <w:pPr>
              <w:spacing w:after="0" w:line="240" w:lineRule="auto"/>
              <w:rPr>
                <w:rFonts w:ascii="Aptos Narrow" w:eastAsia="Aptos" w:hAnsi="Aptos Narrow" w:cs="Times New Roman"/>
                <w:color w:val="000000"/>
                <w:sz w:val="28"/>
                <w:szCs w:val="28"/>
              </w:rPr>
            </w:pPr>
            <w:r w:rsidRPr="00CD512C">
              <w:rPr>
                <w:rFonts w:ascii="Aptos Narrow" w:eastAsia="Aptos" w:hAnsi="Aptos Narrow" w:cs="Times New Roman"/>
                <w:color w:val="000000"/>
                <w:sz w:val="28"/>
                <w:szCs w:val="28"/>
              </w:rPr>
              <w:t>A. RAČUN PRIHODA I RASHODA</w:t>
            </w:r>
          </w:p>
        </w:tc>
      </w:tr>
      <w:tr w:rsidR="00CD512C" w:rsidRPr="00CD512C" w14:paraId="44FE390D"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5C83BD33" w14:textId="77777777" w:rsidR="00CD512C" w:rsidRPr="00CD512C" w:rsidRDefault="00CD512C" w:rsidP="00CD512C">
            <w:pPr>
              <w:spacing w:after="0" w:line="240" w:lineRule="auto"/>
              <w:rPr>
                <w:rFonts w:ascii="Aptos Narrow" w:eastAsia="Aptos" w:hAnsi="Aptos Narrow" w:cs="Times New Roman"/>
                <w:color w:val="000000"/>
                <w:sz w:val="28"/>
                <w:szCs w:val="28"/>
              </w:rPr>
            </w:pPr>
            <w:r w:rsidRPr="00CD512C">
              <w:rPr>
                <w:rFonts w:ascii="Aptos Narrow" w:eastAsia="Aptos" w:hAnsi="Aptos Narrow" w:cs="Times New Roman"/>
                <w:color w:val="000000"/>
                <w:sz w:val="28"/>
                <w:szCs w:val="28"/>
              </w:rPr>
              <w:t>A2. PRIHODI I RASHODI PREMA IZVORIMA FINANCIRANJA - RASHODI</w:t>
            </w:r>
          </w:p>
        </w:tc>
      </w:tr>
      <w:tr w:rsidR="00CD512C" w:rsidRPr="00CD512C" w14:paraId="3EEEDD14"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67DF744C" w14:textId="77777777" w:rsidR="00CD512C" w:rsidRPr="00CD512C" w:rsidRDefault="00CD512C" w:rsidP="00CD512C">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027D79E1" w14:textId="77777777" w:rsidR="00CD512C" w:rsidRPr="00CD512C" w:rsidRDefault="00CD512C" w:rsidP="00CD512C">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2B9604B" w14:textId="77777777" w:rsidR="00CD512C" w:rsidRPr="00CD512C" w:rsidRDefault="00CD512C" w:rsidP="00CD512C">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CAFCF87" w14:textId="77777777" w:rsidR="00CD512C" w:rsidRPr="00CD512C" w:rsidRDefault="00CD512C" w:rsidP="00CD512C">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B933F4" w14:textId="77777777" w:rsidR="00CD512C" w:rsidRPr="00CD512C" w:rsidRDefault="00CD512C" w:rsidP="00CD512C">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0ADD2D" w14:textId="77777777" w:rsidR="00CD512C" w:rsidRPr="00CD512C" w:rsidRDefault="00CD512C" w:rsidP="00CD512C">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D3D068" w14:textId="77777777" w:rsidR="00CD512C" w:rsidRPr="00CD512C" w:rsidRDefault="00CD512C" w:rsidP="00CD512C">
            <w:pPr>
              <w:spacing w:after="0" w:line="240" w:lineRule="auto"/>
              <w:jc w:val="right"/>
              <w:rPr>
                <w:rFonts w:ascii="Aptos" w:eastAsia="Aptos" w:hAnsi="Aptos" w:cs="Times New Roman"/>
                <w:sz w:val="20"/>
                <w:szCs w:val="20"/>
              </w:rPr>
            </w:pPr>
          </w:p>
        </w:tc>
      </w:tr>
      <w:tr w:rsidR="00CD512C" w:rsidRPr="00CD512C" w14:paraId="73F20631"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CA4240D"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Izvor</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007F41E"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Naziv izvora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C2D043A"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Izvršenje</w:t>
            </w:r>
            <w:r w:rsidRPr="00CD512C">
              <w:rPr>
                <w:rFonts w:ascii="Aptos Narrow" w:eastAsia="Aptos" w:hAnsi="Aptos Narrow" w:cs="Times New Roman"/>
                <w:color w:val="000000"/>
                <w:sz w:val="24"/>
                <w:szCs w:val="24"/>
              </w:rPr>
              <w:br/>
            </w:r>
            <w:r w:rsidRPr="00CD512C">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6082379"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Tekući plan</w:t>
            </w:r>
            <w:r w:rsidRPr="00CD512C">
              <w:rPr>
                <w:rFonts w:ascii="Aptos Narrow" w:eastAsia="Aptos" w:hAnsi="Aptos Narrow" w:cs="Times New Roman"/>
                <w:color w:val="000000"/>
                <w:sz w:val="24"/>
                <w:szCs w:val="24"/>
              </w:rPr>
              <w:br/>
            </w:r>
            <w:r w:rsidRPr="00CD512C">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145C347"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Plan</w:t>
            </w:r>
            <w:r w:rsidRPr="00CD512C">
              <w:rPr>
                <w:rFonts w:ascii="Aptos Narrow" w:eastAsia="Aptos" w:hAnsi="Aptos Narrow" w:cs="Times New Roman"/>
                <w:color w:val="000000"/>
                <w:sz w:val="24"/>
                <w:szCs w:val="24"/>
              </w:rPr>
              <w:br/>
            </w:r>
            <w:r w:rsidRPr="00CD512C">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C617154"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 xml:space="preserve">Projekcija </w:t>
            </w:r>
            <w:r w:rsidRPr="00CD512C">
              <w:rPr>
                <w:rFonts w:ascii="Aptos Narrow" w:eastAsia="Aptos" w:hAnsi="Aptos Narrow" w:cs="Times New Roman"/>
                <w:color w:val="000000"/>
                <w:sz w:val="24"/>
                <w:szCs w:val="24"/>
              </w:rPr>
              <w:br/>
            </w:r>
            <w:r w:rsidRPr="00CD512C">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1458AFE" w14:textId="77777777" w:rsidR="00CD512C" w:rsidRPr="00CD512C" w:rsidRDefault="00CD512C" w:rsidP="00CD512C">
            <w:pPr>
              <w:spacing w:after="0" w:line="240" w:lineRule="auto"/>
              <w:jc w:val="center"/>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 xml:space="preserve">Projekcija </w:t>
            </w:r>
            <w:r w:rsidRPr="00CD512C">
              <w:rPr>
                <w:rFonts w:ascii="Aptos Narrow" w:eastAsia="Aptos" w:hAnsi="Aptos Narrow" w:cs="Times New Roman"/>
                <w:color w:val="000000"/>
                <w:sz w:val="24"/>
                <w:szCs w:val="24"/>
              </w:rPr>
              <w:br/>
            </w:r>
            <w:r w:rsidRPr="00CD512C">
              <w:rPr>
                <w:rFonts w:ascii="Aptos Narrow" w:eastAsia="Aptos" w:hAnsi="Aptos Narrow" w:cs="Times New Roman"/>
                <w:color w:val="000000"/>
                <w:sz w:val="24"/>
                <w:szCs w:val="24"/>
              </w:rPr>
              <w:br/>
              <w:t>2028</w:t>
            </w:r>
          </w:p>
        </w:tc>
      </w:tr>
      <w:tr w:rsidR="00CD512C" w:rsidRPr="00CD512C" w14:paraId="42FBB0C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E4706D"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B9CB5C"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BB4006"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4.506.613,91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93D11D"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7.961.177,22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CA2272"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5.748.425,51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98523F"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4.641.061,79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9804C4"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4.475.040,74</w:t>
            </w:r>
          </w:p>
        </w:tc>
      </w:tr>
      <w:tr w:rsidR="00CD512C" w:rsidRPr="00CD512C" w14:paraId="284BC23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BA0A34"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26380C"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40DEF5"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4.506.613,91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B61222"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7.961.177,22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E24D8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5.748.425,51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C4660A"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4.641.061,79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8B8A76"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4.475.040,74</w:t>
            </w:r>
          </w:p>
        </w:tc>
      </w:tr>
      <w:tr w:rsidR="00CD512C" w:rsidRPr="00CD512C" w14:paraId="1539391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674AE4"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B0F786"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14C2B1"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26.568,90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7DF99C"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DDB270"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132138"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40.200,00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EE3377"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40.400,00</w:t>
            </w:r>
          </w:p>
        </w:tc>
      </w:tr>
      <w:tr w:rsidR="00CD512C" w:rsidRPr="00CD512C" w14:paraId="31F7B17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4F1D0A"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19D6A3"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4BE21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26.568,90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2C5826"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3EAFEE"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EFF654"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C9EF8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40.400,00</w:t>
            </w:r>
          </w:p>
        </w:tc>
      </w:tr>
      <w:tr w:rsidR="00CD512C" w:rsidRPr="00CD512C" w14:paraId="29B1F5B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5EFEE4"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652535"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511475"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655.204,77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8A9ACF"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843.480,66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61A38F"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825.567,91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CC6CCF"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829.695,74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76FC19"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833.823,59</w:t>
            </w:r>
          </w:p>
        </w:tc>
      </w:tr>
      <w:tr w:rsidR="00CD512C" w:rsidRPr="00CD512C" w14:paraId="73D2718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2C54E3"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C1460E"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A96CC4"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372.739,83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BE6155"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498.430,66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A8FAAF"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496.367,91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A5C857"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498.849,74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03975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501.331,59</w:t>
            </w:r>
          </w:p>
        </w:tc>
      </w:tr>
      <w:tr w:rsidR="00CD512C" w:rsidRPr="00CD512C" w14:paraId="0396353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59F7FF"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8BD510"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79C884"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280.069,31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0E339D"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341.050,00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DEE8B2"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325.200,00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91ECA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326.826,00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2F888B"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328.452,00</w:t>
            </w:r>
          </w:p>
        </w:tc>
      </w:tr>
      <w:tr w:rsidR="00CD512C" w:rsidRPr="00CD512C" w14:paraId="35B2151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83FDA2"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A5FF5A"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Ostali prihodi po posebnim propisima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41EED1"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2.395,63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73C0F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BD781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B45648"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4.020,00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5ED8DB"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4.040,00</w:t>
            </w:r>
          </w:p>
        </w:tc>
      </w:tr>
      <w:tr w:rsidR="00CD512C" w:rsidRPr="00CD512C" w14:paraId="7C17A44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DFCA6E"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5</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65A4D8"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71C5DE"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1.169.749,40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C08F7E"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4.944.850,66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4DB74E"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5.151.705,33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7DFFB4"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4.080.774,72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C78A76"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3.894.828,32</w:t>
            </w:r>
          </w:p>
        </w:tc>
      </w:tr>
      <w:tr w:rsidR="00CD512C" w:rsidRPr="00CD512C" w14:paraId="05ADA5A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057E8D"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D4A365"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8D07B2"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359.018,55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6D25BB"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418.790,46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4D709E"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374.138,00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E636A4"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376.008,69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CAF1DD"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377.879,38</w:t>
            </w:r>
          </w:p>
        </w:tc>
      </w:tr>
      <w:tr w:rsidR="00CD512C" w:rsidRPr="00CD512C" w14:paraId="292BBEB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B8763E"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9D176B"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Programi unije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98371E"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874C2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81F864"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230E5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37.185,00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E8E1D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37.370,00</w:t>
            </w:r>
          </w:p>
        </w:tc>
      </w:tr>
      <w:tr w:rsidR="00CD512C" w:rsidRPr="00CD512C" w14:paraId="239DF31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40E16E"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14F61A"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3225AD"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711.605,17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DC3CB5"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3.544.155,20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11C3F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3.313.211,44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96ECB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3.112.076,03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04CFA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3.075.568,94</w:t>
            </w:r>
          </w:p>
        </w:tc>
      </w:tr>
      <w:tr w:rsidR="00CD512C" w:rsidRPr="00CD512C" w14:paraId="3549173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8445AC"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71C2C8"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4A50B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99.125,68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066E9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981.905,00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CC8977"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171.000,00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C27D8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71.105,00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55D7EA"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121.210,00</w:t>
            </w:r>
          </w:p>
        </w:tc>
      </w:tr>
      <w:tr w:rsidR="00CD512C" w:rsidRPr="00CD512C" w14:paraId="7187D67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0D0980"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324FE4"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Fondovi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2F8FE1"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AF9178"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6C5D3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698.491,50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400E46"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333.650,00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70555D"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131.300,00</w:t>
            </w:r>
          </w:p>
        </w:tc>
      </w:tr>
      <w:tr w:rsidR="00CD512C" w:rsidRPr="00CD512C" w14:paraId="54FA2F7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3C9231"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58</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C1235D"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Instrumenti EU nove generacije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767E28"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D28711"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947C67"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557.864,39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756477"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150.750,00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9C1C65"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151.500,00</w:t>
            </w:r>
          </w:p>
        </w:tc>
      </w:tr>
      <w:tr w:rsidR="00CD512C" w:rsidRPr="00CD512C" w14:paraId="5A987D2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FD0F0E"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373F7D"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8B691D"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28.419,68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4C5B0C"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4DA936"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614BE4"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301,50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A94A69"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303,00</w:t>
            </w:r>
          </w:p>
        </w:tc>
      </w:tr>
      <w:tr w:rsidR="00CD512C" w:rsidRPr="00CD512C" w14:paraId="58D0C9F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06274C"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60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1E5831"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2A118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EEB3E4"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7821D9"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B74A8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301,50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B264C5"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303,00</w:t>
            </w:r>
          </w:p>
        </w:tc>
      </w:tr>
      <w:tr w:rsidR="00CD512C" w:rsidRPr="00CD512C" w14:paraId="7D0D89F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E0A786"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61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87B29F"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Namjenske 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DC49AA"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27.819,68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02D8A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3F172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66FBE5"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DA4ECB"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0,00</w:t>
            </w:r>
          </w:p>
        </w:tc>
      </w:tr>
      <w:tr w:rsidR="00CD512C" w:rsidRPr="00CD512C" w14:paraId="6DD3FB6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73198F"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7</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A83F6A" w14:textId="77777777" w:rsidR="00CD512C" w:rsidRPr="00CD512C" w:rsidRDefault="00CD512C" w:rsidP="00CD512C">
            <w:pPr>
              <w:spacing w:after="0" w:line="240" w:lineRule="auto"/>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95B5C1"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8.462,72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6A6456"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47.300,00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980C11"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147.400,00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138CF7"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148.137,00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13C0B1" w14:textId="77777777" w:rsidR="00CD512C" w:rsidRPr="00CD512C" w:rsidRDefault="00CD512C" w:rsidP="00CD512C">
            <w:pPr>
              <w:spacing w:after="0" w:line="240" w:lineRule="auto"/>
              <w:jc w:val="right"/>
              <w:rPr>
                <w:rFonts w:ascii="Aptos Narrow" w:eastAsia="Aptos" w:hAnsi="Aptos Narrow" w:cs="Times New Roman"/>
                <w:b/>
                <w:bCs/>
                <w:color w:val="000000"/>
                <w:sz w:val="20"/>
                <w:szCs w:val="20"/>
              </w:rPr>
            </w:pPr>
            <w:r w:rsidRPr="00CD512C">
              <w:rPr>
                <w:rFonts w:ascii="Aptos Narrow" w:eastAsia="Aptos" w:hAnsi="Aptos Narrow" w:cs="Times New Roman"/>
                <w:b/>
                <w:bCs/>
                <w:color w:val="000000"/>
                <w:sz w:val="20"/>
                <w:szCs w:val="20"/>
              </w:rPr>
              <w:t>148.874,00</w:t>
            </w:r>
          </w:p>
        </w:tc>
      </w:tr>
      <w:tr w:rsidR="00CD512C" w:rsidRPr="00CD512C" w14:paraId="35275CD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61561E"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31BA41"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C3251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1.175,81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73605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42BF4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B17F1C"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2.010,00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660701"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2.020,00</w:t>
            </w:r>
          </w:p>
        </w:tc>
      </w:tr>
      <w:tr w:rsidR="00CD512C" w:rsidRPr="00CD512C" w14:paraId="0BBEB2D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20CB9E"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303261"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09A61A"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7.272,46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361ED1"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491D01"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131.300,00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EA8A7B"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131.956,50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CF3F5D"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132.613,00</w:t>
            </w:r>
          </w:p>
        </w:tc>
      </w:tr>
      <w:tr w:rsidR="00CD512C" w:rsidRPr="00CD512C" w14:paraId="63DD671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DFDD10"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72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308B6E" w14:textId="77777777" w:rsidR="00CD512C" w:rsidRPr="00CD512C" w:rsidRDefault="00CD512C" w:rsidP="00CD512C">
            <w:pPr>
              <w:spacing w:after="0" w:line="240" w:lineRule="auto"/>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619B8E"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14,45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9970F3"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8F04C0"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B617EF"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14.170,50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C11207" w14:textId="77777777" w:rsidR="00CD512C" w:rsidRPr="00CD512C" w:rsidRDefault="00CD512C" w:rsidP="00CD512C">
            <w:pPr>
              <w:spacing w:after="0" w:line="240" w:lineRule="auto"/>
              <w:jc w:val="right"/>
              <w:rPr>
                <w:rFonts w:ascii="Aptos Narrow" w:eastAsia="Aptos" w:hAnsi="Aptos Narrow" w:cs="Times New Roman"/>
                <w:color w:val="000000"/>
                <w:sz w:val="18"/>
                <w:szCs w:val="18"/>
              </w:rPr>
            </w:pPr>
            <w:r w:rsidRPr="00CD512C">
              <w:rPr>
                <w:rFonts w:ascii="Aptos Narrow" w:eastAsia="Aptos" w:hAnsi="Aptos Narrow" w:cs="Times New Roman"/>
                <w:color w:val="000000"/>
                <w:sz w:val="18"/>
                <w:szCs w:val="18"/>
              </w:rPr>
              <w:t>14.241,00</w:t>
            </w:r>
          </w:p>
        </w:tc>
      </w:tr>
      <w:tr w:rsidR="00CD512C" w:rsidRPr="00CD512C" w14:paraId="12C0A6E9" w14:textId="77777777" w:rsidTr="005B5D4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3FC8C14F" w14:textId="77777777" w:rsidR="00CD512C" w:rsidRPr="00CD512C" w:rsidRDefault="00CD512C" w:rsidP="00CD512C">
            <w:pPr>
              <w:spacing w:after="0" w:line="240" w:lineRule="auto"/>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SVEUKUPNO</w:t>
            </w:r>
          </w:p>
        </w:tc>
        <w:tc>
          <w:tcPr>
            <w:tcW w:w="586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3ACD961" w14:textId="77777777" w:rsidR="00CD512C" w:rsidRPr="00CD512C" w:rsidRDefault="00CD512C" w:rsidP="00CD512C">
            <w:pPr>
              <w:spacing w:after="0" w:line="240" w:lineRule="auto"/>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91C245E" w14:textId="77777777" w:rsidR="00CD512C" w:rsidRPr="00CD512C" w:rsidRDefault="00CD512C" w:rsidP="00CD512C">
            <w:pPr>
              <w:spacing w:after="0" w:line="240" w:lineRule="auto"/>
              <w:jc w:val="right"/>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6.395.019,38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7AC2AF2" w14:textId="77777777" w:rsidR="00CD512C" w:rsidRPr="00CD512C" w:rsidRDefault="00CD512C" w:rsidP="00CD512C">
            <w:pPr>
              <w:spacing w:after="0" w:line="240" w:lineRule="auto"/>
              <w:jc w:val="right"/>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2F88F56" w14:textId="77777777" w:rsidR="00CD512C" w:rsidRPr="00CD512C" w:rsidRDefault="00CD512C" w:rsidP="00CD512C">
            <w:pPr>
              <w:spacing w:after="0" w:line="240" w:lineRule="auto"/>
              <w:jc w:val="right"/>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11.913.398,75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349F8ED0" w14:textId="77777777" w:rsidR="00CD512C" w:rsidRPr="00CD512C" w:rsidRDefault="00CD512C" w:rsidP="00CD512C">
            <w:pPr>
              <w:spacing w:after="0" w:line="240" w:lineRule="auto"/>
              <w:jc w:val="right"/>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9.740.170,75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836A0B8" w14:textId="77777777" w:rsidR="00CD512C" w:rsidRPr="00CD512C" w:rsidRDefault="00CD512C" w:rsidP="00CD512C">
            <w:pPr>
              <w:spacing w:after="0" w:line="240" w:lineRule="auto"/>
              <w:jc w:val="right"/>
              <w:rPr>
                <w:rFonts w:ascii="Aptos Narrow" w:eastAsia="Aptos" w:hAnsi="Aptos Narrow" w:cs="Times New Roman"/>
                <w:color w:val="000000"/>
                <w:sz w:val="24"/>
                <w:szCs w:val="24"/>
              </w:rPr>
            </w:pPr>
            <w:r w:rsidRPr="00CD512C">
              <w:rPr>
                <w:rFonts w:ascii="Aptos Narrow" w:eastAsia="Aptos" w:hAnsi="Aptos Narrow" w:cs="Times New Roman"/>
                <w:color w:val="000000"/>
                <w:sz w:val="24"/>
                <w:szCs w:val="24"/>
              </w:rPr>
              <w:t>9.393.269,65</w:t>
            </w:r>
          </w:p>
        </w:tc>
      </w:tr>
    </w:tbl>
    <w:p w14:paraId="03CFF9FC" w14:textId="77777777" w:rsidR="00CD512C" w:rsidRPr="00CD512C" w:rsidRDefault="00CD512C" w:rsidP="00CD512C">
      <w:pPr>
        <w:spacing w:after="0" w:line="240" w:lineRule="auto"/>
        <w:rPr>
          <w:rFonts w:ascii="Aptos" w:eastAsia="Aptos" w:hAnsi="Aptos" w:cs="Times New Roman"/>
          <w:sz w:val="24"/>
          <w:szCs w:val="24"/>
        </w:rPr>
      </w:pPr>
    </w:p>
    <w:p w14:paraId="1F139DB2" w14:textId="645F41E3" w:rsidR="00F347DB" w:rsidRDefault="00F347DB">
      <w:pPr>
        <w:rPr>
          <w:rFonts w:ascii="Arial" w:hAnsi="Arial" w:cs="Arial"/>
          <w:sz w:val="24"/>
          <w:szCs w:val="24"/>
        </w:rPr>
      </w:pPr>
      <w:r>
        <w:rPr>
          <w:rFonts w:ascii="Arial" w:hAnsi="Arial" w:cs="Arial"/>
          <w:sz w:val="24"/>
          <w:szCs w:val="24"/>
        </w:rPr>
        <w:br w:type="page"/>
      </w: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FA1EE9" w:rsidRPr="00FA1EE9" w14:paraId="6A5C9A34"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29EFAA14" w14:textId="77777777" w:rsidR="00FA1EE9" w:rsidRPr="00FA1EE9" w:rsidRDefault="00FA1EE9" w:rsidP="00FA1EE9">
            <w:pPr>
              <w:spacing w:after="0" w:line="240" w:lineRule="auto"/>
              <w:rPr>
                <w:rFonts w:ascii="Aptos Narrow" w:eastAsia="Aptos" w:hAnsi="Aptos Narrow" w:cs="Times New Roman"/>
                <w:b/>
                <w:bCs/>
                <w:color w:val="000000"/>
                <w:sz w:val="36"/>
                <w:szCs w:val="36"/>
              </w:rPr>
            </w:pPr>
            <w:r w:rsidRPr="00FA1EE9">
              <w:rPr>
                <w:rFonts w:ascii="Aptos Narrow" w:eastAsia="Aptos" w:hAnsi="Aptos Narrow" w:cs="Times New Roman"/>
                <w:b/>
                <w:bCs/>
                <w:color w:val="000000"/>
                <w:sz w:val="36"/>
                <w:szCs w:val="36"/>
              </w:rPr>
              <w:lastRenderedPageBreak/>
              <w:t>Proračun 2026.</w:t>
            </w:r>
          </w:p>
        </w:tc>
      </w:tr>
      <w:tr w:rsidR="00FA1EE9" w:rsidRPr="00FA1EE9" w14:paraId="4BE54D62"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7D94AE07" w14:textId="77777777" w:rsidR="00FA1EE9" w:rsidRPr="00FA1EE9" w:rsidRDefault="00FA1EE9" w:rsidP="00FA1EE9">
            <w:pPr>
              <w:spacing w:after="0" w:line="240" w:lineRule="auto"/>
              <w:rPr>
                <w:rFonts w:ascii="Aptos Narrow" w:eastAsia="Aptos" w:hAnsi="Aptos Narrow" w:cs="Times New Roman"/>
                <w:color w:val="000000"/>
                <w:sz w:val="28"/>
                <w:szCs w:val="28"/>
              </w:rPr>
            </w:pPr>
            <w:r w:rsidRPr="00FA1EE9">
              <w:rPr>
                <w:rFonts w:ascii="Aptos Narrow" w:eastAsia="Aptos" w:hAnsi="Aptos Narrow" w:cs="Times New Roman"/>
                <w:color w:val="000000"/>
                <w:sz w:val="28"/>
                <w:szCs w:val="28"/>
              </w:rPr>
              <w:t>A. RAČUN PRIHODA I RASHODA</w:t>
            </w:r>
          </w:p>
        </w:tc>
      </w:tr>
      <w:tr w:rsidR="00FA1EE9" w:rsidRPr="00FA1EE9" w14:paraId="61AF942F"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36D698C5" w14:textId="77777777" w:rsidR="00FA1EE9" w:rsidRPr="00FA1EE9" w:rsidRDefault="00FA1EE9" w:rsidP="00FA1EE9">
            <w:pPr>
              <w:spacing w:after="0" w:line="240" w:lineRule="auto"/>
              <w:rPr>
                <w:rFonts w:ascii="Aptos Narrow" w:eastAsia="Aptos" w:hAnsi="Aptos Narrow" w:cs="Times New Roman"/>
                <w:color w:val="000000"/>
                <w:sz w:val="28"/>
                <w:szCs w:val="28"/>
              </w:rPr>
            </w:pPr>
            <w:r w:rsidRPr="00FA1EE9">
              <w:rPr>
                <w:rFonts w:ascii="Aptos Narrow" w:eastAsia="Aptos" w:hAnsi="Aptos Narrow" w:cs="Times New Roman"/>
                <w:color w:val="000000"/>
                <w:sz w:val="28"/>
                <w:szCs w:val="28"/>
              </w:rPr>
              <w:t>A3. RASHODI PREMA FUNKCIJSKOJ KLASIFIKACIJI</w:t>
            </w:r>
          </w:p>
        </w:tc>
      </w:tr>
      <w:tr w:rsidR="00FA1EE9" w:rsidRPr="00FA1EE9" w14:paraId="28C62387"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27D4A804" w14:textId="77777777" w:rsidR="00FA1EE9" w:rsidRPr="00FA1EE9" w:rsidRDefault="00FA1EE9" w:rsidP="00FA1EE9">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243E6C3C" w14:textId="77777777" w:rsidR="00FA1EE9" w:rsidRPr="00FA1EE9" w:rsidRDefault="00FA1EE9" w:rsidP="00FA1EE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CAF7EB" w14:textId="77777777" w:rsidR="00FA1EE9" w:rsidRPr="00FA1EE9" w:rsidRDefault="00FA1EE9" w:rsidP="00FA1EE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9595BD" w14:textId="77777777" w:rsidR="00FA1EE9" w:rsidRPr="00FA1EE9" w:rsidRDefault="00FA1EE9" w:rsidP="00FA1EE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9E434F" w14:textId="77777777" w:rsidR="00FA1EE9" w:rsidRPr="00FA1EE9" w:rsidRDefault="00FA1EE9" w:rsidP="00FA1EE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D890AC3" w14:textId="77777777" w:rsidR="00FA1EE9" w:rsidRPr="00FA1EE9" w:rsidRDefault="00FA1EE9" w:rsidP="00FA1EE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D6EA53E" w14:textId="77777777" w:rsidR="00FA1EE9" w:rsidRPr="00FA1EE9" w:rsidRDefault="00FA1EE9" w:rsidP="00FA1EE9">
            <w:pPr>
              <w:spacing w:after="0" w:line="240" w:lineRule="auto"/>
              <w:jc w:val="right"/>
              <w:rPr>
                <w:rFonts w:ascii="Aptos" w:eastAsia="Aptos" w:hAnsi="Aptos" w:cs="Times New Roman"/>
                <w:sz w:val="20"/>
                <w:szCs w:val="20"/>
              </w:rPr>
            </w:pPr>
          </w:p>
        </w:tc>
      </w:tr>
      <w:tr w:rsidR="00FA1EE9" w:rsidRPr="00FA1EE9" w14:paraId="618F53B3"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44DAA03"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Funkcija</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280293B"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Opis funkcije</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9BA84BD"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Izvršenje</w:t>
            </w:r>
            <w:r w:rsidRPr="00FA1EE9">
              <w:rPr>
                <w:rFonts w:ascii="Aptos Narrow" w:eastAsia="Aptos" w:hAnsi="Aptos Narrow" w:cs="Times New Roman"/>
                <w:color w:val="000000"/>
                <w:sz w:val="24"/>
                <w:szCs w:val="24"/>
              </w:rPr>
              <w:br/>
            </w:r>
            <w:r w:rsidRPr="00FA1EE9">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3832B5E"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Tekući plan</w:t>
            </w:r>
            <w:r w:rsidRPr="00FA1EE9">
              <w:rPr>
                <w:rFonts w:ascii="Aptos Narrow" w:eastAsia="Aptos" w:hAnsi="Aptos Narrow" w:cs="Times New Roman"/>
                <w:color w:val="000000"/>
                <w:sz w:val="24"/>
                <w:szCs w:val="24"/>
              </w:rPr>
              <w:br/>
            </w:r>
            <w:r w:rsidRPr="00FA1EE9">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A236D6C"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Plan</w:t>
            </w:r>
            <w:r w:rsidRPr="00FA1EE9">
              <w:rPr>
                <w:rFonts w:ascii="Aptos Narrow" w:eastAsia="Aptos" w:hAnsi="Aptos Narrow" w:cs="Times New Roman"/>
                <w:color w:val="000000"/>
                <w:sz w:val="24"/>
                <w:szCs w:val="24"/>
              </w:rPr>
              <w:br/>
            </w:r>
            <w:r w:rsidRPr="00FA1EE9">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2C298B86"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 xml:space="preserve">Projekcija </w:t>
            </w:r>
            <w:r w:rsidRPr="00FA1EE9">
              <w:rPr>
                <w:rFonts w:ascii="Aptos Narrow" w:eastAsia="Aptos" w:hAnsi="Aptos Narrow" w:cs="Times New Roman"/>
                <w:color w:val="000000"/>
                <w:sz w:val="24"/>
                <w:szCs w:val="24"/>
              </w:rPr>
              <w:br/>
            </w:r>
            <w:r w:rsidRPr="00FA1EE9">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0DA4B80" w14:textId="77777777" w:rsidR="00FA1EE9" w:rsidRPr="00FA1EE9" w:rsidRDefault="00FA1EE9" w:rsidP="00FA1EE9">
            <w:pPr>
              <w:spacing w:after="0" w:line="240" w:lineRule="auto"/>
              <w:jc w:val="center"/>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 xml:space="preserve">Projekcija </w:t>
            </w:r>
            <w:r w:rsidRPr="00FA1EE9">
              <w:rPr>
                <w:rFonts w:ascii="Aptos Narrow" w:eastAsia="Aptos" w:hAnsi="Aptos Narrow" w:cs="Times New Roman"/>
                <w:color w:val="000000"/>
                <w:sz w:val="24"/>
                <w:szCs w:val="24"/>
              </w:rPr>
              <w:br/>
            </w:r>
            <w:r w:rsidRPr="00FA1EE9">
              <w:rPr>
                <w:rFonts w:ascii="Aptos Narrow" w:eastAsia="Aptos" w:hAnsi="Aptos Narrow" w:cs="Times New Roman"/>
                <w:color w:val="000000"/>
                <w:sz w:val="24"/>
                <w:szCs w:val="24"/>
              </w:rPr>
              <w:br/>
              <w:t>2028</w:t>
            </w:r>
          </w:p>
        </w:tc>
      </w:tr>
      <w:tr w:rsidR="00FA1EE9" w:rsidRPr="00FA1EE9" w14:paraId="25BD90A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8AF0F0"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4A0B25"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Opće javne usluge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9A49C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1.057.899,11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0C5D9B"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1.687.512,90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70041D"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1.844.850,00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5A894D"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1.853.969,25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5234BB"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1.863.113,50</w:t>
            </w:r>
          </w:p>
        </w:tc>
      </w:tr>
      <w:tr w:rsidR="00FA1EE9" w:rsidRPr="00FA1EE9" w14:paraId="325204B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63ECCD"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011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8057E7"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Izvršna i zakonodavna tijela, financijski i fiskalni poslovi, vanjski poslovi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B9144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1.057.899,11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4AEB9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1.687.512,90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3BC70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1.803.850,00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4E6D7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1.812.764,25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C98076"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1.821.703,50</w:t>
            </w:r>
          </w:p>
        </w:tc>
      </w:tr>
      <w:tr w:rsidR="00FA1EE9" w:rsidRPr="00FA1EE9" w14:paraId="31AC62F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8C8049"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013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2217C9"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Opće usluge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F7346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A1A6E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8D168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A629BD"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41.205,00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9BF25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41.410,00</w:t>
            </w:r>
          </w:p>
        </w:tc>
      </w:tr>
      <w:tr w:rsidR="00FA1EE9" w:rsidRPr="00FA1EE9" w14:paraId="79C5467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5DB7DC"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633EC0"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Javni red i sigurnost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6B1EB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82.801,30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856F6E"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87.500,00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107D7D"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117.500,00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AB1CE5"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118.087,50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80659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118.675,00</w:t>
            </w:r>
          </w:p>
        </w:tc>
      </w:tr>
      <w:tr w:rsidR="00FA1EE9" w:rsidRPr="00FA1EE9" w14:paraId="59E77F6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2E08F2"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19F62C"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Usluge protupožarne zaštite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05A9AE"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82.801,30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4B852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87.500,00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3FF644"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117.500,00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D78B6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118.087,50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0B206B"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118.675,00</w:t>
            </w:r>
          </w:p>
        </w:tc>
      </w:tr>
      <w:tr w:rsidR="00FA1EE9" w:rsidRPr="00FA1EE9" w14:paraId="1A3C09C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0FD77B"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CA5894"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Ekonomski poslovi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B5303C"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472.579,61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083B0C"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1.850.700,00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CE1F9D"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885.700,00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9FA539"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789.378,49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9257B8"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843.057,00</w:t>
            </w:r>
          </w:p>
        </w:tc>
      </w:tr>
      <w:tr w:rsidR="00FA1EE9" w:rsidRPr="00FA1EE9" w14:paraId="1B4763D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5012A1"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E75D36"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Opći ekonomski, trgovački i poslovi vezani uz rad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EFDFB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83.711,99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658BE7"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185.000,00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B4E76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215.000,00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1DFCA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216.075,00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72B99C"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217.150,00</w:t>
            </w:r>
          </w:p>
        </w:tc>
      </w:tr>
      <w:tr w:rsidR="00FA1EE9" w:rsidRPr="00FA1EE9" w14:paraId="24FD655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CD5A70"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134ACA"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Poljoprivreda, šumarstvo, ribarstvo i lov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28E187"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195.273,65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60D016"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298.700,00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1B9FE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298.700,00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D143F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300.193,49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286026"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301.687,00</w:t>
            </w:r>
          </w:p>
        </w:tc>
      </w:tr>
      <w:tr w:rsidR="00FA1EE9" w:rsidRPr="00FA1EE9" w14:paraId="706C986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25F57A"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47239C"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Promet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2DECCA"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161.593,97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E1E86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1.320.000,00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9DD4B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F56E4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230.900,00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93994B"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281.800,00</w:t>
            </w:r>
          </w:p>
        </w:tc>
      </w:tr>
      <w:tr w:rsidR="00FA1EE9" w:rsidRPr="00FA1EE9" w14:paraId="44E3198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1E9BAE"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047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471EFA"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Ostale industrije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7C429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12CE8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89012E"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FF252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42.210,00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40B16A"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42.420,00</w:t>
            </w:r>
          </w:p>
        </w:tc>
      </w:tr>
      <w:tr w:rsidR="00FA1EE9" w:rsidRPr="00FA1EE9" w14:paraId="429675A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575112"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CDF123"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Zaštita okoliša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A89E23"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602.612,67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C7770F"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673.400,00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2F6C30"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636.400,00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56637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639.582,00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320FD6"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642.764,00</w:t>
            </w:r>
          </w:p>
        </w:tc>
      </w:tr>
      <w:tr w:rsidR="00FA1EE9" w:rsidRPr="00FA1EE9" w14:paraId="6AFB71D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2CA3F8"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051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9B3730"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Gospodarenje otpadom</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A0FAF7"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151.940,10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C896FF"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310.400,00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55702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239.400,00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B845E"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240.597,00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D1F6F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241.794,00</w:t>
            </w:r>
          </w:p>
        </w:tc>
      </w:tr>
      <w:tr w:rsidR="00FA1EE9" w:rsidRPr="00FA1EE9" w14:paraId="31FA73C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4BFDDB"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056</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569AFE"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Poslovi i usluge zaštite okoliša koji nisu drugdje svrstani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84D35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450.672,57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ACC55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363.000,00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1B636F"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397.000,00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C2887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398.985,00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F93F3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400.970,00</w:t>
            </w:r>
          </w:p>
        </w:tc>
      </w:tr>
      <w:tr w:rsidR="00FA1EE9" w:rsidRPr="00FA1EE9" w14:paraId="0C0265B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394501"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06</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1926C8"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Usluge unaprjeđenja stanovanja i zajednice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F1A464"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1.129.064,45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3C7316"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4.106.250,00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17D5E8"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3.893.500,00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75E0A0"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2.515.035,00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372E9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2.194.347,00</w:t>
            </w:r>
          </w:p>
        </w:tc>
      </w:tr>
      <w:tr w:rsidR="00FA1EE9" w:rsidRPr="00FA1EE9" w14:paraId="609C914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04ECAE"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061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F8A8D2"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Razvoj stanovanja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7189C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797.188,33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BFA37C"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1.245.000,00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EFA01D"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1.590.000,00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DE711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1.194.200,00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A5899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1.169.677,00</w:t>
            </w:r>
          </w:p>
        </w:tc>
      </w:tr>
      <w:tr w:rsidR="00FA1EE9" w:rsidRPr="00FA1EE9" w14:paraId="6CE9130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7EB47F"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062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DF6C91"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Razvoj zajednice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54B70A"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FED59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5515B0"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2DE93E"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599D0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r>
      <w:tr w:rsidR="00FA1EE9" w:rsidRPr="00FA1EE9" w14:paraId="7E0FC5C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8B709F"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066</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6C5A74"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Rashodi vezani uz stanovanje i kom. pogodnosti koji nisu drugdje svrstani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D6F40D"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331.876,12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5D5D6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2.851.250,00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D43717"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2.303.500,00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5259ED"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1.320.835,00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50BA8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1.024.670,00</w:t>
            </w:r>
          </w:p>
        </w:tc>
      </w:tr>
      <w:tr w:rsidR="00FA1EE9" w:rsidRPr="00FA1EE9" w14:paraId="39F5603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240245"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77DEEC"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Rekreacija, kultura i religija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AFACA5"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645.535,61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7F1686"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939.529,60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8FF1B1"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1.074.955,00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37D311"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1.080.219,76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A8FCC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1.085.484,55</w:t>
            </w:r>
          </w:p>
        </w:tc>
      </w:tr>
      <w:tr w:rsidR="00FA1EE9" w:rsidRPr="00FA1EE9" w14:paraId="7D3FBC7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77F6BE"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080</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41A0AE"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Rekreacija, kultura i religija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BDFBE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753B0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65AC1F"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88E66D"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FC89D0"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0,00</w:t>
            </w:r>
          </w:p>
        </w:tc>
      </w:tr>
      <w:tr w:rsidR="00FA1EE9" w:rsidRPr="00FA1EE9" w14:paraId="294000C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2DFB26"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081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089315"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Službe rekreacije i sporta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FF61E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225.455,40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5B8327"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C35DC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F0DF94"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331.650,00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BDED2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333.300,00</w:t>
            </w:r>
          </w:p>
        </w:tc>
      </w:tr>
      <w:tr w:rsidR="00FA1EE9" w:rsidRPr="00FA1EE9" w14:paraId="23C1507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6BC09F"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082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C948D0"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Službe kulture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FB1E1F"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157.733,59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BF347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207.920,00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4CDC0C"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241.955,00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A2AD40"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243.164,76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DD318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244.374,55</w:t>
            </w:r>
          </w:p>
        </w:tc>
      </w:tr>
      <w:tr w:rsidR="00FA1EE9" w:rsidRPr="00FA1EE9" w14:paraId="1D0E97D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3807CB"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083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8FE38A"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Službe emitiranja i izdavanja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191B7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26.544,60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3EB6FC"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61.544,60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FEC1D4"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5ECB96"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45.225,00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B5371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45.450,00</w:t>
            </w:r>
          </w:p>
        </w:tc>
      </w:tr>
      <w:tr w:rsidR="00FA1EE9" w:rsidRPr="00FA1EE9" w14:paraId="35F63BF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E4C975"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086</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1174FC"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Rashodi za rekreaciju, kulturu i religiju koji nisu drugdje svrstani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C1951B"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231.802,02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81F11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420.065,00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0A053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458.000,00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732B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460.180,00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E0D27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462.360,00</w:t>
            </w:r>
          </w:p>
        </w:tc>
      </w:tr>
      <w:tr w:rsidR="00FA1EE9" w:rsidRPr="00FA1EE9" w14:paraId="238D735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6BFB4"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09</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D541D7"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Obrazovanje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4BD30F"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1.913.805,84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ECCD54"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3.685.716,04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8DD20D"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2.532.968,91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C021F4"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2.256.483,75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E35053"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2.359.998,60</w:t>
            </w:r>
          </w:p>
        </w:tc>
      </w:tr>
      <w:tr w:rsidR="00FA1EE9" w:rsidRPr="00FA1EE9" w14:paraId="43D414D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8DCB3D"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091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BA8A59"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Predškolsko i osnovno obrazovanje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5A5218"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1.759.904,38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0C53C9"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3.492.016,04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F72387"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2.329.968,91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1AE64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2.052.468,75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00414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2.154.968,60</w:t>
            </w:r>
          </w:p>
        </w:tc>
      </w:tr>
      <w:tr w:rsidR="00FA1EE9" w:rsidRPr="00FA1EE9" w14:paraId="41F2D2B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300E63"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092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A4D217"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Srednjoškolsko obrazovanje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1CAC4D"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0AC7B0"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9B69E1"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39A666"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3.015,00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B1395E"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3.030,00</w:t>
            </w:r>
          </w:p>
        </w:tc>
      </w:tr>
      <w:tr w:rsidR="00FA1EE9" w:rsidRPr="00FA1EE9" w14:paraId="32FCAF5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89D7B3"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lastRenderedPageBreak/>
              <w:t>095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24AA1F"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Obrazovanje koje se ne može definirati po stupnju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9F34AA"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152.401,46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B42996"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190.700,00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AC326F"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17CF7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201.000,00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7E43D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202.000,00</w:t>
            </w:r>
          </w:p>
        </w:tc>
      </w:tr>
      <w:tr w:rsidR="00FA1EE9" w:rsidRPr="00FA1EE9" w14:paraId="65E032B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DFBDEE"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10</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8609B5" w14:textId="77777777" w:rsidR="00FA1EE9" w:rsidRPr="00FA1EE9" w:rsidRDefault="00FA1EE9" w:rsidP="00FA1EE9">
            <w:pPr>
              <w:spacing w:after="0" w:line="240" w:lineRule="auto"/>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 xml:space="preserve">Socijalna zaštita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2F5213"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490.720,79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6C7D57"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796.500,00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1155A9"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927.524,84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10132D"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487.415,00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BC9D02" w14:textId="77777777" w:rsidR="00FA1EE9" w:rsidRPr="00FA1EE9" w:rsidRDefault="00FA1EE9" w:rsidP="00FA1EE9">
            <w:pPr>
              <w:spacing w:after="0" w:line="240" w:lineRule="auto"/>
              <w:jc w:val="right"/>
              <w:rPr>
                <w:rFonts w:ascii="Aptos Narrow" w:eastAsia="Aptos" w:hAnsi="Aptos Narrow" w:cs="Times New Roman"/>
                <w:b/>
                <w:bCs/>
                <w:color w:val="000000"/>
                <w:sz w:val="18"/>
                <w:szCs w:val="18"/>
              </w:rPr>
            </w:pPr>
            <w:r w:rsidRPr="00FA1EE9">
              <w:rPr>
                <w:rFonts w:ascii="Aptos Narrow" w:eastAsia="Aptos" w:hAnsi="Aptos Narrow" w:cs="Times New Roman"/>
                <w:b/>
                <w:bCs/>
                <w:color w:val="000000"/>
                <w:sz w:val="18"/>
                <w:szCs w:val="18"/>
              </w:rPr>
              <w:t>285.830,00</w:t>
            </w:r>
          </w:p>
        </w:tc>
      </w:tr>
      <w:tr w:rsidR="00FA1EE9" w:rsidRPr="00FA1EE9" w14:paraId="3FD1BA20" w14:textId="77777777" w:rsidTr="005B5D4C">
        <w:trPr>
          <w:trHeight w:val="465"/>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0659EA"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107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B45221"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Socijalna pomoć stanovništvu koje nije obuhvaćeno redovnim socijalnim programima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BF99F4"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207.087,26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81D093"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246.000,00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2B7450"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274.000,00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1A03E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275.370,00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143212"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276.740,00</w:t>
            </w:r>
          </w:p>
        </w:tc>
      </w:tr>
      <w:tr w:rsidR="00FA1EE9" w:rsidRPr="00FA1EE9" w14:paraId="28F37E8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E3271"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109</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420A91" w14:textId="77777777" w:rsidR="00FA1EE9" w:rsidRPr="00FA1EE9" w:rsidRDefault="00FA1EE9" w:rsidP="00FA1EE9">
            <w:pPr>
              <w:spacing w:after="0" w:line="240" w:lineRule="auto"/>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 xml:space="preserve">Aktivnosti socijalne zaštite koje nisu drugdje svrstane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9C3DB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283.633,53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F82B3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550.500,00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9E842C"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653.524,84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413F75"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212.045,00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2C638B" w14:textId="77777777" w:rsidR="00FA1EE9" w:rsidRPr="00FA1EE9" w:rsidRDefault="00FA1EE9" w:rsidP="00FA1EE9">
            <w:pPr>
              <w:spacing w:after="0" w:line="240" w:lineRule="auto"/>
              <w:jc w:val="right"/>
              <w:rPr>
                <w:rFonts w:ascii="Aptos Narrow" w:eastAsia="Aptos" w:hAnsi="Aptos Narrow" w:cs="Times New Roman"/>
                <w:color w:val="000000"/>
                <w:sz w:val="16"/>
                <w:szCs w:val="16"/>
              </w:rPr>
            </w:pPr>
            <w:r w:rsidRPr="00FA1EE9">
              <w:rPr>
                <w:rFonts w:ascii="Aptos Narrow" w:eastAsia="Aptos" w:hAnsi="Aptos Narrow" w:cs="Times New Roman"/>
                <w:color w:val="000000"/>
                <w:sz w:val="16"/>
                <w:szCs w:val="16"/>
              </w:rPr>
              <w:t>9.090,00</w:t>
            </w:r>
          </w:p>
        </w:tc>
      </w:tr>
      <w:tr w:rsidR="00FA1EE9" w:rsidRPr="00FA1EE9" w14:paraId="5BB6341B" w14:textId="77777777" w:rsidTr="005B5D4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049A8E8" w14:textId="77777777" w:rsidR="00FA1EE9" w:rsidRPr="00FA1EE9" w:rsidRDefault="00FA1EE9" w:rsidP="00FA1EE9">
            <w:pPr>
              <w:spacing w:after="0" w:line="240" w:lineRule="auto"/>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SVEUKUPNO</w:t>
            </w:r>
          </w:p>
        </w:tc>
        <w:tc>
          <w:tcPr>
            <w:tcW w:w="586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4E19809" w14:textId="77777777" w:rsidR="00FA1EE9" w:rsidRPr="00FA1EE9" w:rsidRDefault="00FA1EE9" w:rsidP="00FA1EE9">
            <w:pPr>
              <w:spacing w:after="0" w:line="240" w:lineRule="auto"/>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D925D40" w14:textId="77777777" w:rsidR="00FA1EE9" w:rsidRPr="00FA1EE9" w:rsidRDefault="00FA1EE9" w:rsidP="00FA1EE9">
            <w:pPr>
              <w:spacing w:after="0" w:line="240" w:lineRule="auto"/>
              <w:jc w:val="right"/>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6.395.019,38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3101AC6" w14:textId="77777777" w:rsidR="00FA1EE9" w:rsidRPr="00FA1EE9" w:rsidRDefault="00FA1EE9" w:rsidP="00FA1EE9">
            <w:pPr>
              <w:spacing w:after="0" w:line="240" w:lineRule="auto"/>
              <w:jc w:val="right"/>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BDFCC15" w14:textId="77777777" w:rsidR="00FA1EE9" w:rsidRPr="00FA1EE9" w:rsidRDefault="00FA1EE9" w:rsidP="00FA1EE9">
            <w:pPr>
              <w:spacing w:after="0" w:line="240" w:lineRule="auto"/>
              <w:jc w:val="right"/>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11.913.398,75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03A53DA4" w14:textId="77777777" w:rsidR="00FA1EE9" w:rsidRPr="00FA1EE9" w:rsidRDefault="00FA1EE9" w:rsidP="00FA1EE9">
            <w:pPr>
              <w:spacing w:after="0" w:line="240" w:lineRule="auto"/>
              <w:jc w:val="right"/>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9.740.170,75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53A615D" w14:textId="77777777" w:rsidR="00FA1EE9" w:rsidRPr="00FA1EE9" w:rsidRDefault="00FA1EE9" w:rsidP="00FA1EE9">
            <w:pPr>
              <w:spacing w:after="0" w:line="240" w:lineRule="auto"/>
              <w:jc w:val="right"/>
              <w:rPr>
                <w:rFonts w:ascii="Aptos Narrow" w:eastAsia="Aptos" w:hAnsi="Aptos Narrow" w:cs="Times New Roman"/>
                <w:color w:val="000000"/>
                <w:sz w:val="24"/>
                <w:szCs w:val="24"/>
              </w:rPr>
            </w:pPr>
            <w:r w:rsidRPr="00FA1EE9">
              <w:rPr>
                <w:rFonts w:ascii="Aptos Narrow" w:eastAsia="Aptos" w:hAnsi="Aptos Narrow" w:cs="Times New Roman"/>
                <w:color w:val="000000"/>
                <w:sz w:val="24"/>
                <w:szCs w:val="24"/>
              </w:rPr>
              <w:t>9.393.269,65</w:t>
            </w:r>
          </w:p>
        </w:tc>
      </w:tr>
    </w:tbl>
    <w:p w14:paraId="77F9CB71" w14:textId="77777777" w:rsidR="00FA1EE9" w:rsidRPr="00FA1EE9" w:rsidRDefault="00FA1EE9" w:rsidP="00FA1EE9">
      <w:pPr>
        <w:spacing w:after="0" w:line="240" w:lineRule="auto"/>
        <w:rPr>
          <w:rFonts w:ascii="Aptos" w:eastAsia="Aptos" w:hAnsi="Aptos" w:cs="Times New Roman"/>
          <w:sz w:val="24"/>
          <w:szCs w:val="24"/>
        </w:rPr>
      </w:pPr>
    </w:p>
    <w:p w14:paraId="356F7D07" w14:textId="2FFA7CD5" w:rsidR="00FA1EE9" w:rsidRDefault="00FA1EE9">
      <w:pPr>
        <w:rPr>
          <w:rFonts w:ascii="Arial" w:hAnsi="Arial" w:cs="Arial"/>
          <w:sz w:val="24"/>
          <w:szCs w:val="24"/>
        </w:rPr>
      </w:pPr>
      <w:r>
        <w:rPr>
          <w:rFonts w:ascii="Arial" w:hAnsi="Arial" w:cs="Arial"/>
          <w:sz w:val="24"/>
          <w:szCs w:val="24"/>
        </w:rPr>
        <w:br w:type="page"/>
      </w: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3F1411" w:rsidRPr="003F1411" w14:paraId="17AC2AC7"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48DE6A98" w14:textId="77777777" w:rsidR="003F1411" w:rsidRPr="003F1411" w:rsidRDefault="003F1411" w:rsidP="003F1411">
            <w:pPr>
              <w:spacing w:after="0" w:line="240" w:lineRule="auto"/>
              <w:rPr>
                <w:rFonts w:ascii="Aptos Narrow" w:eastAsia="Aptos" w:hAnsi="Aptos Narrow" w:cs="Times New Roman"/>
                <w:b/>
                <w:bCs/>
                <w:color w:val="000000"/>
                <w:sz w:val="36"/>
                <w:szCs w:val="36"/>
              </w:rPr>
            </w:pPr>
            <w:r w:rsidRPr="003F1411">
              <w:rPr>
                <w:rFonts w:ascii="Aptos Narrow" w:eastAsia="Aptos" w:hAnsi="Aptos Narrow" w:cs="Times New Roman"/>
                <w:b/>
                <w:bCs/>
                <w:color w:val="000000"/>
                <w:sz w:val="36"/>
                <w:szCs w:val="36"/>
              </w:rPr>
              <w:lastRenderedPageBreak/>
              <w:t>Proračun 2026.</w:t>
            </w:r>
          </w:p>
        </w:tc>
      </w:tr>
      <w:tr w:rsidR="003F1411" w:rsidRPr="003F1411" w14:paraId="5363C163"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42F1DACD" w14:textId="77777777" w:rsidR="003F1411" w:rsidRPr="003F1411" w:rsidRDefault="003F1411" w:rsidP="003F1411">
            <w:pPr>
              <w:spacing w:after="0" w:line="240" w:lineRule="auto"/>
              <w:rPr>
                <w:rFonts w:ascii="Aptos Narrow" w:eastAsia="Aptos" w:hAnsi="Aptos Narrow" w:cs="Times New Roman"/>
                <w:color w:val="000000"/>
                <w:sz w:val="28"/>
                <w:szCs w:val="28"/>
              </w:rPr>
            </w:pPr>
            <w:r w:rsidRPr="003F1411">
              <w:rPr>
                <w:rFonts w:ascii="Aptos Narrow" w:eastAsia="Aptos" w:hAnsi="Aptos Narrow" w:cs="Times New Roman"/>
                <w:color w:val="000000"/>
                <w:sz w:val="28"/>
                <w:szCs w:val="28"/>
              </w:rPr>
              <w:t>B. RAČUN FINANCIRANJA</w:t>
            </w:r>
          </w:p>
        </w:tc>
      </w:tr>
      <w:tr w:rsidR="003F1411" w:rsidRPr="003F1411" w14:paraId="320E9DF4"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34FEE7C7" w14:textId="77777777" w:rsidR="003F1411" w:rsidRPr="003F1411" w:rsidRDefault="003F1411" w:rsidP="003F1411">
            <w:pPr>
              <w:spacing w:after="0" w:line="240" w:lineRule="auto"/>
              <w:rPr>
                <w:rFonts w:ascii="Aptos Narrow" w:eastAsia="Aptos" w:hAnsi="Aptos Narrow" w:cs="Times New Roman"/>
                <w:color w:val="000000"/>
                <w:sz w:val="28"/>
                <w:szCs w:val="28"/>
              </w:rPr>
            </w:pPr>
            <w:r w:rsidRPr="003F1411">
              <w:rPr>
                <w:rFonts w:ascii="Aptos Narrow" w:eastAsia="Aptos" w:hAnsi="Aptos Narrow" w:cs="Times New Roman"/>
                <w:color w:val="000000"/>
                <w:sz w:val="28"/>
                <w:szCs w:val="28"/>
              </w:rPr>
              <w:t>B1. RAČUN FINANCIRANJA PREMA EKONOMSKOJ KLASIFIKACIJI</w:t>
            </w:r>
          </w:p>
        </w:tc>
      </w:tr>
      <w:tr w:rsidR="003F1411" w:rsidRPr="003F1411" w14:paraId="0A94476B"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75CE5940" w14:textId="77777777" w:rsidR="003F1411" w:rsidRPr="003F1411" w:rsidRDefault="003F1411" w:rsidP="003F1411">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0842F4A0" w14:textId="77777777" w:rsidR="003F1411" w:rsidRPr="003F1411" w:rsidRDefault="003F1411" w:rsidP="003F1411">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BAF41B8" w14:textId="77777777" w:rsidR="003F1411" w:rsidRPr="003F1411" w:rsidRDefault="003F1411" w:rsidP="003F1411">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78EE08" w14:textId="77777777" w:rsidR="003F1411" w:rsidRPr="003F1411" w:rsidRDefault="003F1411" w:rsidP="003F1411">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509FF9" w14:textId="77777777" w:rsidR="003F1411" w:rsidRPr="003F1411" w:rsidRDefault="003F1411" w:rsidP="003F1411">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15B89F" w14:textId="77777777" w:rsidR="003F1411" w:rsidRPr="003F1411" w:rsidRDefault="003F1411" w:rsidP="003F1411">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588934" w14:textId="77777777" w:rsidR="003F1411" w:rsidRPr="003F1411" w:rsidRDefault="003F1411" w:rsidP="003F1411">
            <w:pPr>
              <w:spacing w:after="0" w:line="240" w:lineRule="auto"/>
              <w:jc w:val="right"/>
              <w:rPr>
                <w:rFonts w:ascii="Aptos" w:eastAsia="Aptos" w:hAnsi="Aptos" w:cs="Times New Roman"/>
                <w:sz w:val="20"/>
                <w:szCs w:val="20"/>
              </w:rPr>
            </w:pPr>
          </w:p>
        </w:tc>
      </w:tr>
      <w:tr w:rsidR="003F1411" w:rsidRPr="003F1411" w14:paraId="233D70E9"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58477D5"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Račun</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5F62DC5"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Naziv računa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046E777"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Izvršenje</w:t>
            </w:r>
            <w:r w:rsidRPr="003F1411">
              <w:rPr>
                <w:rFonts w:ascii="Aptos Narrow" w:eastAsia="Aptos" w:hAnsi="Aptos Narrow" w:cs="Times New Roman"/>
                <w:color w:val="000000"/>
                <w:sz w:val="24"/>
                <w:szCs w:val="24"/>
              </w:rPr>
              <w:br/>
            </w:r>
            <w:r w:rsidRPr="003F1411">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B2A6E50"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Tekući plan</w:t>
            </w:r>
            <w:r w:rsidRPr="003F1411">
              <w:rPr>
                <w:rFonts w:ascii="Aptos Narrow" w:eastAsia="Aptos" w:hAnsi="Aptos Narrow" w:cs="Times New Roman"/>
                <w:color w:val="000000"/>
                <w:sz w:val="24"/>
                <w:szCs w:val="24"/>
              </w:rPr>
              <w:br/>
            </w:r>
            <w:r w:rsidRPr="003F1411">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5D6C1BD"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Plan</w:t>
            </w:r>
            <w:r w:rsidRPr="003F1411">
              <w:rPr>
                <w:rFonts w:ascii="Aptos Narrow" w:eastAsia="Aptos" w:hAnsi="Aptos Narrow" w:cs="Times New Roman"/>
                <w:color w:val="000000"/>
                <w:sz w:val="24"/>
                <w:szCs w:val="24"/>
              </w:rPr>
              <w:br/>
            </w:r>
            <w:r w:rsidRPr="003F1411">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7AD34D3E"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 xml:space="preserve">Projekcija </w:t>
            </w:r>
            <w:r w:rsidRPr="003F1411">
              <w:rPr>
                <w:rFonts w:ascii="Aptos Narrow" w:eastAsia="Aptos" w:hAnsi="Aptos Narrow" w:cs="Times New Roman"/>
                <w:color w:val="000000"/>
                <w:sz w:val="24"/>
                <w:szCs w:val="24"/>
              </w:rPr>
              <w:br/>
            </w:r>
            <w:r w:rsidRPr="003F1411">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17473EB5" w14:textId="77777777" w:rsidR="003F1411" w:rsidRPr="003F1411" w:rsidRDefault="003F1411" w:rsidP="003F1411">
            <w:pPr>
              <w:spacing w:after="0" w:line="240" w:lineRule="auto"/>
              <w:jc w:val="center"/>
              <w:rPr>
                <w:rFonts w:ascii="Aptos Narrow" w:eastAsia="Aptos" w:hAnsi="Aptos Narrow" w:cs="Times New Roman"/>
                <w:color w:val="000000"/>
                <w:sz w:val="24"/>
                <w:szCs w:val="24"/>
              </w:rPr>
            </w:pPr>
            <w:r w:rsidRPr="003F1411">
              <w:rPr>
                <w:rFonts w:ascii="Aptos Narrow" w:eastAsia="Aptos" w:hAnsi="Aptos Narrow" w:cs="Times New Roman"/>
                <w:color w:val="000000"/>
                <w:sz w:val="24"/>
                <w:szCs w:val="24"/>
              </w:rPr>
              <w:t xml:space="preserve">Projekcija </w:t>
            </w:r>
            <w:r w:rsidRPr="003F1411">
              <w:rPr>
                <w:rFonts w:ascii="Aptos Narrow" w:eastAsia="Aptos" w:hAnsi="Aptos Narrow" w:cs="Times New Roman"/>
                <w:color w:val="000000"/>
                <w:sz w:val="24"/>
                <w:szCs w:val="24"/>
              </w:rPr>
              <w:br/>
            </w:r>
            <w:r w:rsidRPr="003F1411">
              <w:rPr>
                <w:rFonts w:ascii="Aptos Narrow" w:eastAsia="Aptos" w:hAnsi="Aptos Narrow" w:cs="Times New Roman"/>
                <w:color w:val="000000"/>
                <w:sz w:val="24"/>
                <w:szCs w:val="24"/>
              </w:rPr>
              <w:br/>
              <w:t>2028</w:t>
            </w:r>
          </w:p>
        </w:tc>
      </w:tr>
      <w:tr w:rsidR="003F1411" w:rsidRPr="003F1411" w14:paraId="181852A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21553E" w14:textId="77777777" w:rsidR="003F1411" w:rsidRPr="003F1411" w:rsidRDefault="003F1411" w:rsidP="003F1411">
            <w:pPr>
              <w:spacing w:after="0" w:line="240" w:lineRule="auto"/>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CFE0A6" w14:textId="77777777" w:rsidR="003F1411" w:rsidRPr="003F1411" w:rsidRDefault="003F1411" w:rsidP="003F1411">
            <w:pPr>
              <w:spacing w:after="0" w:line="240" w:lineRule="auto"/>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Izdaci za financijsku imovinu i otplate zajmova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EA11D3"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BABD79"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037B11"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94DFD1"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B27F2"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0,00</w:t>
            </w:r>
          </w:p>
        </w:tc>
      </w:tr>
      <w:tr w:rsidR="003F1411" w:rsidRPr="003F1411" w14:paraId="15191E0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2754B6" w14:textId="77777777" w:rsidR="003F1411" w:rsidRPr="003F1411" w:rsidRDefault="003F1411" w:rsidP="003F1411">
            <w:pPr>
              <w:spacing w:after="0" w:line="240" w:lineRule="auto"/>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54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E9C2FB" w14:textId="77777777" w:rsidR="003F1411" w:rsidRPr="003F1411" w:rsidRDefault="003F1411" w:rsidP="003F1411">
            <w:pPr>
              <w:spacing w:after="0" w:line="240" w:lineRule="auto"/>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Izdaci za otplatu glavnice primljenih kredita i zajmova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E9CA35"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FF47D9"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73F539"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9357AF"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97B575"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0,00</w:t>
            </w:r>
          </w:p>
        </w:tc>
      </w:tr>
      <w:tr w:rsidR="003F1411" w:rsidRPr="003F1411" w14:paraId="0C7ABFA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A1A1D2" w14:textId="77777777" w:rsidR="003F1411" w:rsidRPr="003F1411" w:rsidRDefault="003F1411" w:rsidP="003F1411">
            <w:pPr>
              <w:spacing w:after="0" w:line="240" w:lineRule="auto"/>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C9E6BA" w14:textId="77777777" w:rsidR="003F1411" w:rsidRPr="003F1411" w:rsidRDefault="003F1411" w:rsidP="003F1411">
            <w:pPr>
              <w:spacing w:after="0" w:line="240" w:lineRule="auto"/>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A56E13"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7C9628"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9972C6"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D4BB51"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2304C4"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r>
      <w:tr w:rsidR="003F1411" w:rsidRPr="003F1411" w14:paraId="61047E3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163098" w14:textId="77777777" w:rsidR="003F1411" w:rsidRPr="003F1411" w:rsidRDefault="003F1411" w:rsidP="003F1411">
            <w:pPr>
              <w:spacing w:after="0" w:line="240" w:lineRule="auto"/>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531E65" w14:textId="77777777" w:rsidR="003F1411" w:rsidRPr="003F1411" w:rsidRDefault="003F1411" w:rsidP="003F1411">
            <w:pPr>
              <w:spacing w:after="0" w:line="240" w:lineRule="auto"/>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Primici od financijske imovine i zaduživanja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C1E71A"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CBA530"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8D0CFD"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38049F"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6493D" w14:textId="77777777" w:rsidR="003F1411" w:rsidRPr="003F1411" w:rsidRDefault="003F1411" w:rsidP="003F1411">
            <w:pPr>
              <w:spacing w:after="0" w:line="240" w:lineRule="auto"/>
              <w:jc w:val="right"/>
              <w:rPr>
                <w:rFonts w:ascii="Aptos Narrow" w:eastAsia="Aptos" w:hAnsi="Aptos Narrow" w:cs="Times New Roman"/>
                <w:b/>
                <w:bCs/>
                <w:color w:val="000000"/>
                <w:sz w:val="20"/>
                <w:szCs w:val="20"/>
              </w:rPr>
            </w:pPr>
            <w:r w:rsidRPr="003F1411">
              <w:rPr>
                <w:rFonts w:ascii="Aptos Narrow" w:eastAsia="Aptos" w:hAnsi="Aptos Narrow" w:cs="Times New Roman"/>
                <w:b/>
                <w:bCs/>
                <w:color w:val="000000"/>
                <w:sz w:val="20"/>
                <w:szCs w:val="20"/>
              </w:rPr>
              <w:t>1.300.000,00</w:t>
            </w:r>
          </w:p>
        </w:tc>
      </w:tr>
      <w:tr w:rsidR="003F1411" w:rsidRPr="003F1411" w14:paraId="28B3E29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6A70F4" w14:textId="77777777" w:rsidR="003F1411" w:rsidRPr="003F1411" w:rsidRDefault="003F1411" w:rsidP="003F1411">
            <w:pPr>
              <w:spacing w:after="0" w:line="240" w:lineRule="auto"/>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84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7BEEE0" w14:textId="77777777" w:rsidR="003F1411" w:rsidRPr="003F1411" w:rsidRDefault="003F1411" w:rsidP="003F1411">
            <w:pPr>
              <w:spacing w:after="0" w:line="240" w:lineRule="auto"/>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Primici od zaduživanja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87BD9F"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826A15"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2C98FE"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F641A9"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41ADC3" w14:textId="77777777" w:rsidR="003F1411" w:rsidRPr="003F1411" w:rsidRDefault="003F1411" w:rsidP="003F1411">
            <w:pPr>
              <w:spacing w:after="0" w:line="240" w:lineRule="auto"/>
              <w:jc w:val="right"/>
              <w:rPr>
                <w:rFonts w:ascii="Aptos Narrow" w:eastAsia="Aptos" w:hAnsi="Aptos Narrow" w:cs="Times New Roman"/>
                <w:color w:val="000000"/>
                <w:sz w:val="18"/>
                <w:szCs w:val="18"/>
              </w:rPr>
            </w:pPr>
            <w:r w:rsidRPr="003F1411">
              <w:rPr>
                <w:rFonts w:ascii="Aptos Narrow" w:eastAsia="Aptos" w:hAnsi="Aptos Narrow" w:cs="Times New Roman"/>
                <w:color w:val="000000"/>
                <w:sz w:val="18"/>
                <w:szCs w:val="18"/>
              </w:rPr>
              <w:t>1.300.000,00</w:t>
            </w:r>
          </w:p>
        </w:tc>
      </w:tr>
      <w:tr w:rsidR="003F1411" w:rsidRPr="003F1411" w14:paraId="53A22F5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097389" w14:textId="77777777" w:rsidR="003F1411" w:rsidRPr="003F1411" w:rsidRDefault="003F1411" w:rsidP="003F1411">
            <w:pPr>
              <w:spacing w:after="0" w:line="240" w:lineRule="auto"/>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A201B9" w14:textId="77777777" w:rsidR="003F1411" w:rsidRPr="003F1411" w:rsidRDefault="003F1411" w:rsidP="003F1411">
            <w:pPr>
              <w:spacing w:after="0" w:line="240" w:lineRule="auto"/>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28DD78"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C4EE1B"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EF4D69"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79998C"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0478FB" w14:textId="77777777" w:rsidR="003F1411" w:rsidRPr="003F1411" w:rsidRDefault="003F1411" w:rsidP="003F1411">
            <w:pPr>
              <w:spacing w:after="0" w:line="240" w:lineRule="auto"/>
              <w:jc w:val="right"/>
              <w:rPr>
                <w:rFonts w:ascii="Aptos Narrow" w:eastAsia="Aptos" w:hAnsi="Aptos Narrow" w:cs="Times New Roman"/>
                <w:color w:val="000000"/>
                <w:sz w:val="20"/>
                <w:szCs w:val="20"/>
              </w:rPr>
            </w:pPr>
            <w:r w:rsidRPr="003F1411">
              <w:rPr>
                <w:rFonts w:ascii="Aptos Narrow" w:eastAsia="Aptos" w:hAnsi="Aptos Narrow" w:cs="Times New Roman"/>
                <w:color w:val="000000"/>
                <w:sz w:val="20"/>
                <w:szCs w:val="20"/>
              </w:rPr>
              <w:t> </w:t>
            </w:r>
          </w:p>
        </w:tc>
      </w:tr>
    </w:tbl>
    <w:p w14:paraId="0FFE1344" w14:textId="77777777" w:rsidR="003F1411" w:rsidRPr="003F1411" w:rsidRDefault="003F1411" w:rsidP="003F1411">
      <w:pPr>
        <w:spacing w:after="0" w:line="240" w:lineRule="auto"/>
        <w:rPr>
          <w:rFonts w:ascii="Aptos" w:eastAsia="Aptos" w:hAnsi="Aptos" w:cs="Times New Roman"/>
          <w:sz w:val="24"/>
          <w:szCs w:val="24"/>
        </w:rPr>
      </w:pPr>
    </w:p>
    <w:p w14:paraId="3793B605" w14:textId="441733AF" w:rsidR="003F1411" w:rsidRDefault="003F1411">
      <w:pPr>
        <w:rPr>
          <w:rFonts w:ascii="Arial" w:hAnsi="Arial" w:cs="Arial"/>
          <w:sz w:val="24"/>
          <w:szCs w:val="24"/>
        </w:rPr>
      </w:pPr>
      <w:r>
        <w:rPr>
          <w:rFonts w:ascii="Arial" w:hAnsi="Arial" w:cs="Arial"/>
          <w:sz w:val="24"/>
          <w:szCs w:val="24"/>
        </w:rPr>
        <w:br w:type="page"/>
      </w: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483575" w:rsidRPr="00483575" w14:paraId="5D949616"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17CAE3DF" w14:textId="77777777" w:rsidR="00483575" w:rsidRPr="00483575" w:rsidRDefault="00483575" w:rsidP="00483575">
            <w:pPr>
              <w:spacing w:after="0" w:line="240" w:lineRule="auto"/>
              <w:rPr>
                <w:rFonts w:ascii="Aptos Narrow" w:eastAsia="Aptos" w:hAnsi="Aptos Narrow" w:cs="Times New Roman"/>
                <w:b/>
                <w:bCs/>
                <w:color w:val="000000"/>
                <w:sz w:val="36"/>
                <w:szCs w:val="36"/>
              </w:rPr>
            </w:pPr>
            <w:r w:rsidRPr="00483575">
              <w:rPr>
                <w:rFonts w:ascii="Aptos Narrow" w:eastAsia="Aptos" w:hAnsi="Aptos Narrow" w:cs="Times New Roman"/>
                <w:b/>
                <w:bCs/>
                <w:color w:val="000000"/>
                <w:sz w:val="36"/>
                <w:szCs w:val="36"/>
              </w:rPr>
              <w:lastRenderedPageBreak/>
              <w:t>Proračun 2026.</w:t>
            </w:r>
          </w:p>
        </w:tc>
      </w:tr>
      <w:tr w:rsidR="00483575" w:rsidRPr="00483575" w14:paraId="6D518424"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284EAD0D" w14:textId="77777777" w:rsidR="00483575" w:rsidRPr="00483575" w:rsidRDefault="00483575" w:rsidP="00483575">
            <w:pPr>
              <w:spacing w:after="0" w:line="240" w:lineRule="auto"/>
              <w:rPr>
                <w:rFonts w:ascii="Aptos Narrow" w:eastAsia="Aptos" w:hAnsi="Aptos Narrow" w:cs="Times New Roman"/>
                <w:color w:val="000000"/>
                <w:sz w:val="28"/>
                <w:szCs w:val="28"/>
              </w:rPr>
            </w:pPr>
            <w:r w:rsidRPr="00483575">
              <w:rPr>
                <w:rFonts w:ascii="Aptos Narrow" w:eastAsia="Aptos" w:hAnsi="Aptos Narrow" w:cs="Times New Roman"/>
                <w:color w:val="000000"/>
                <w:sz w:val="28"/>
                <w:szCs w:val="28"/>
              </w:rPr>
              <w:t>B. RAČUN FINANCIRANJA</w:t>
            </w:r>
          </w:p>
        </w:tc>
      </w:tr>
      <w:tr w:rsidR="00483575" w:rsidRPr="00483575" w14:paraId="29EE5FB4"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6B4750A9" w14:textId="77777777" w:rsidR="00483575" w:rsidRPr="00483575" w:rsidRDefault="00483575" w:rsidP="00483575">
            <w:pPr>
              <w:spacing w:after="0" w:line="240" w:lineRule="auto"/>
              <w:rPr>
                <w:rFonts w:ascii="Aptos Narrow" w:eastAsia="Aptos" w:hAnsi="Aptos Narrow" w:cs="Times New Roman"/>
                <w:color w:val="000000"/>
                <w:sz w:val="28"/>
                <w:szCs w:val="28"/>
              </w:rPr>
            </w:pPr>
            <w:r w:rsidRPr="00483575">
              <w:rPr>
                <w:rFonts w:ascii="Aptos Narrow" w:eastAsia="Aptos" w:hAnsi="Aptos Narrow" w:cs="Times New Roman"/>
                <w:color w:val="000000"/>
                <w:sz w:val="28"/>
                <w:szCs w:val="28"/>
              </w:rPr>
              <w:t>B2. RAČUN FINANCIRANJA PREMA IZVORIMA FINANCIRANJA</w:t>
            </w:r>
          </w:p>
        </w:tc>
      </w:tr>
      <w:tr w:rsidR="00483575" w:rsidRPr="00483575" w14:paraId="70627F15"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38DA3D0E" w14:textId="77777777" w:rsidR="00483575" w:rsidRPr="00483575" w:rsidRDefault="00483575" w:rsidP="00483575">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27651290" w14:textId="77777777" w:rsidR="00483575" w:rsidRPr="00483575" w:rsidRDefault="00483575" w:rsidP="00483575">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B85D4EF" w14:textId="77777777" w:rsidR="00483575" w:rsidRPr="00483575" w:rsidRDefault="00483575" w:rsidP="00483575">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46BEA0" w14:textId="77777777" w:rsidR="00483575" w:rsidRPr="00483575" w:rsidRDefault="00483575" w:rsidP="00483575">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0BC5E3" w14:textId="77777777" w:rsidR="00483575" w:rsidRPr="00483575" w:rsidRDefault="00483575" w:rsidP="00483575">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B34D0F" w14:textId="77777777" w:rsidR="00483575" w:rsidRPr="00483575" w:rsidRDefault="00483575" w:rsidP="00483575">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A0301C" w14:textId="77777777" w:rsidR="00483575" w:rsidRPr="00483575" w:rsidRDefault="00483575" w:rsidP="00483575">
            <w:pPr>
              <w:spacing w:after="0" w:line="240" w:lineRule="auto"/>
              <w:jc w:val="right"/>
              <w:rPr>
                <w:rFonts w:ascii="Aptos" w:eastAsia="Aptos" w:hAnsi="Aptos" w:cs="Times New Roman"/>
                <w:sz w:val="20"/>
                <w:szCs w:val="20"/>
              </w:rPr>
            </w:pPr>
          </w:p>
        </w:tc>
      </w:tr>
      <w:tr w:rsidR="00483575" w:rsidRPr="00483575" w14:paraId="109DD82E"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DB22B76"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Izvor</w:t>
            </w:r>
          </w:p>
        </w:tc>
        <w:tc>
          <w:tcPr>
            <w:tcW w:w="586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073A17D3"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Naziv izvora</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5AB0B7D7"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Izvršenje</w:t>
            </w:r>
            <w:r w:rsidRPr="00483575">
              <w:rPr>
                <w:rFonts w:ascii="Aptos Narrow" w:eastAsia="Aptos" w:hAnsi="Aptos Narrow" w:cs="Times New Roman"/>
                <w:color w:val="000000"/>
                <w:sz w:val="24"/>
                <w:szCs w:val="24"/>
              </w:rPr>
              <w:br/>
            </w:r>
            <w:r w:rsidRPr="00483575">
              <w:rPr>
                <w:rFonts w:ascii="Aptos Narrow" w:eastAsia="Aptos" w:hAnsi="Aptos Narrow" w:cs="Times New Roman"/>
                <w:color w:val="000000"/>
                <w:sz w:val="24"/>
                <w:szCs w:val="24"/>
              </w:rPr>
              <w:br/>
              <w:t>2024</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889AA2B"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Tekući plan</w:t>
            </w:r>
            <w:r w:rsidRPr="00483575">
              <w:rPr>
                <w:rFonts w:ascii="Aptos Narrow" w:eastAsia="Aptos" w:hAnsi="Aptos Narrow" w:cs="Times New Roman"/>
                <w:color w:val="000000"/>
                <w:sz w:val="24"/>
                <w:szCs w:val="24"/>
              </w:rPr>
              <w:br/>
            </w:r>
            <w:r w:rsidRPr="00483575">
              <w:rPr>
                <w:rFonts w:ascii="Aptos Narrow" w:eastAsia="Aptos" w:hAnsi="Aptos Narrow" w:cs="Times New Roman"/>
                <w:color w:val="000000"/>
                <w:sz w:val="24"/>
                <w:szCs w:val="24"/>
              </w:rPr>
              <w:br/>
              <w:t>2025</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6451FF26"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Plan</w:t>
            </w:r>
            <w:r w:rsidRPr="00483575">
              <w:rPr>
                <w:rFonts w:ascii="Aptos Narrow" w:eastAsia="Aptos" w:hAnsi="Aptos Narrow" w:cs="Times New Roman"/>
                <w:color w:val="000000"/>
                <w:sz w:val="24"/>
                <w:szCs w:val="24"/>
              </w:rPr>
              <w:br/>
            </w:r>
            <w:r w:rsidRPr="00483575">
              <w:rPr>
                <w:rFonts w:ascii="Aptos Narrow" w:eastAsia="Aptos" w:hAnsi="Aptos Narrow" w:cs="Times New Roman"/>
                <w:color w:val="000000"/>
                <w:sz w:val="24"/>
                <w:szCs w:val="24"/>
              </w:rPr>
              <w:br/>
              <w:t>2026</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8B6323E"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 xml:space="preserve">Projekcija </w:t>
            </w:r>
            <w:r w:rsidRPr="00483575">
              <w:rPr>
                <w:rFonts w:ascii="Aptos Narrow" w:eastAsia="Aptos" w:hAnsi="Aptos Narrow" w:cs="Times New Roman"/>
                <w:color w:val="000000"/>
                <w:sz w:val="24"/>
                <w:szCs w:val="24"/>
              </w:rPr>
              <w:br/>
            </w:r>
            <w:r w:rsidRPr="00483575">
              <w:rPr>
                <w:rFonts w:ascii="Aptos Narrow" w:eastAsia="Aptos" w:hAnsi="Aptos Narrow" w:cs="Times New Roman"/>
                <w:color w:val="000000"/>
                <w:sz w:val="24"/>
                <w:szCs w:val="24"/>
              </w:rPr>
              <w:br/>
              <w:t>2027</w:t>
            </w:r>
          </w:p>
        </w:tc>
        <w:tc>
          <w:tcPr>
            <w:tcW w:w="1540"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0B23B68" w14:textId="77777777" w:rsidR="00483575" w:rsidRPr="00483575" w:rsidRDefault="00483575" w:rsidP="00483575">
            <w:pPr>
              <w:spacing w:after="0" w:line="240" w:lineRule="auto"/>
              <w:jc w:val="center"/>
              <w:rPr>
                <w:rFonts w:ascii="Aptos Narrow" w:eastAsia="Aptos" w:hAnsi="Aptos Narrow" w:cs="Times New Roman"/>
                <w:color w:val="000000"/>
                <w:sz w:val="24"/>
                <w:szCs w:val="24"/>
              </w:rPr>
            </w:pPr>
            <w:r w:rsidRPr="00483575">
              <w:rPr>
                <w:rFonts w:ascii="Aptos Narrow" w:eastAsia="Aptos" w:hAnsi="Aptos Narrow" w:cs="Times New Roman"/>
                <w:color w:val="000000"/>
                <w:sz w:val="24"/>
                <w:szCs w:val="24"/>
              </w:rPr>
              <w:t xml:space="preserve">Projekcija </w:t>
            </w:r>
            <w:r w:rsidRPr="00483575">
              <w:rPr>
                <w:rFonts w:ascii="Aptos Narrow" w:eastAsia="Aptos" w:hAnsi="Aptos Narrow" w:cs="Times New Roman"/>
                <w:color w:val="000000"/>
                <w:sz w:val="24"/>
                <w:szCs w:val="24"/>
              </w:rPr>
              <w:br/>
            </w:r>
            <w:r w:rsidRPr="00483575">
              <w:rPr>
                <w:rFonts w:ascii="Aptos Narrow" w:eastAsia="Aptos" w:hAnsi="Aptos Narrow" w:cs="Times New Roman"/>
                <w:color w:val="000000"/>
                <w:sz w:val="24"/>
                <w:szCs w:val="24"/>
              </w:rPr>
              <w:br/>
              <w:t>2028</w:t>
            </w:r>
          </w:p>
        </w:tc>
      </w:tr>
      <w:tr w:rsidR="00483575" w:rsidRPr="00483575" w14:paraId="0C3BBBD0" w14:textId="77777777" w:rsidTr="005B5D4C">
        <w:trPr>
          <w:trHeight w:val="315"/>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7B168F" w14:textId="77777777" w:rsidR="00483575" w:rsidRPr="00483575" w:rsidRDefault="00483575" w:rsidP="00483575">
            <w:pPr>
              <w:spacing w:after="0" w:line="240" w:lineRule="auto"/>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 </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1D281F" w14:textId="77777777" w:rsidR="00483575" w:rsidRPr="00483575" w:rsidRDefault="00483575" w:rsidP="00483575">
            <w:pPr>
              <w:spacing w:after="0" w:line="240" w:lineRule="auto"/>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PRIMICI UKUPNO</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98DB44"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20ADC7"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B75841"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C1687E"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1.300.000,00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D26A0F"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1.300.000,00</w:t>
            </w:r>
          </w:p>
        </w:tc>
      </w:tr>
      <w:tr w:rsidR="00483575" w:rsidRPr="00483575" w14:paraId="75D51F2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A0BF80" w14:textId="77777777" w:rsidR="00483575" w:rsidRPr="00483575" w:rsidRDefault="00483575" w:rsidP="00483575">
            <w:pPr>
              <w:spacing w:after="0" w:line="240" w:lineRule="auto"/>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DF8065" w14:textId="77777777" w:rsidR="00483575" w:rsidRPr="00483575" w:rsidRDefault="00483575" w:rsidP="00483575">
            <w:pPr>
              <w:spacing w:after="0" w:line="240" w:lineRule="auto"/>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4D75F0"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B24A75"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DF5548"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D75869"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67A941"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1.300.000,00</w:t>
            </w:r>
          </w:p>
        </w:tc>
      </w:tr>
      <w:tr w:rsidR="00483575" w:rsidRPr="00483575" w14:paraId="2F8B1FC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18A417" w14:textId="77777777" w:rsidR="00483575" w:rsidRPr="00483575" w:rsidRDefault="00483575" w:rsidP="00483575">
            <w:pPr>
              <w:spacing w:after="0" w:line="240" w:lineRule="auto"/>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5BAB26" w14:textId="77777777" w:rsidR="00483575" w:rsidRPr="00483575" w:rsidRDefault="00483575" w:rsidP="00483575">
            <w:pPr>
              <w:spacing w:after="0" w:line="240" w:lineRule="auto"/>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C18B66"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0DA38B"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47DD04"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F6D446"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1.300.000,00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3A318A"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1.300.000,00</w:t>
            </w:r>
          </w:p>
        </w:tc>
      </w:tr>
      <w:tr w:rsidR="00483575" w:rsidRPr="00483575" w14:paraId="118AA74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4EC1F4" w14:textId="77777777" w:rsidR="00483575" w:rsidRPr="00483575" w:rsidRDefault="00483575" w:rsidP="00483575">
            <w:pPr>
              <w:spacing w:after="0" w:line="240" w:lineRule="auto"/>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736B01" w14:textId="77777777" w:rsidR="00483575" w:rsidRPr="00483575" w:rsidRDefault="00483575" w:rsidP="00483575">
            <w:pPr>
              <w:spacing w:after="0" w:line="240" w:lineRule="auto"/>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DCFC80"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CF8D26"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66ABB1"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D58AAE"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3605D5"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r>
      <w:tr w:rsidR="00483575" w:rsidRPr="00483575" w14:paraId="6436D478" w14:textId="77777777" w:rsidTr="005B5D4C">
        <w:trPr>
          <w:trHeight w:val="315"/>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41169C" w14:textId="77777777" w:rsidR="00483575" w:rsidRPr="00483575" w:rsidRDefault="00483575" w:rsidP="00483575">
            <w:pPr>
              <w:spacing w:after="0" w:line="240" w:lineRule="auto"/>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 </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0D05C9" w14:textId="77777777" w:rsidR="00483575" w:rsidRPr="00483575" w:rsidRDefault="00483575" w:rsidP="00483575">
            <w:pPr>
              <w:spacing w:after="0" w:line="240" w:lineRule="auto"/>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IZDACI UKUPNO</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A3C2D1"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759AC0"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BE94E3"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6299D7"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B48A9E" w14:textId="77777777" w:rsidR="00483575" w:rsidRPr="00483575" w:rsidRDefault="00483575" w:rsidP="00483575">
            <w:pPr>
              <w:spacing w:after="0" w:line="240" w:lineRule="auto"/>
              <w:jc w:val="right"/>
              <w:rPr>
                <w:rFonts w:ascii="Aptos Narrow" w:eastAsia="Aptos" w:hAnsi="Aptos Narrow" w:cs="Times New Roman"/>
                <w:b/>
                <w:bCs/>
                <w:color w:val="000000"/>
                <w:sz w:val="24"/>
                <w:szCs w:val="24"/>
              </w:rPr>
            </w:pPr>
            <w:r w:rsidRPr="00483575">
              <w:rPr>
                <w:rFonts w:ascii="Aptos Narrow" w:eastAsia="Aptos" w:hAnsi="Aptos Narrow" w:cs="Times New Roman"/>
                <w:b/>
                <w:bCs/>
                <w:color w:val="000000"/>
                <w:sz w:val="24"/>
                <w:szCs w:val="24"/>
              </w:rPr>
              <w:t>0,00</w:t>
            </w:r>
          </w:p>
        </w:tc>
      </w:tr>
      <w:tr w:rsidR="00483575" w:rsidRPr="00483575" w14:paraId="35D35CE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81F036" w14:textId="77777777" w:rsidR="00483575" w:rsidRPr="00483575" w:rsidRDefault="00483575" w:rsidP="00483575">
            <w:pPr>
              <w:spacing w:after="0" w:line="240" w:lineRule="auto"/>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E921AE" w14:textId="77777777" w:rsidR="00483575" w:rsidRPr="00483575" w:rsidRDefault="00483575" w:rsidP="00483575">
            <w:pPr>
              <w:spacing w:after="0" w:line="240" w:lineRule="auto"/>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BDF6CA"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B17068"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323B7E"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213853"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7AA332" w14:textId="77777777" w:rsidR="00483575" w:rsidRPr="00483575" w:rsidRDefault="00483575" w:rsidP="00483575">
            <w:pPr>
              <w:spacing w:after="0" w:line="240" w:lineRule="auto"/>
              <w:jc w:val="right"/>
              <w:rPr>
                <w:rFonts w:ascii="Aptos Narrow" w:eastAsia="Aptos" w:hAnsi="Aptos Narrow" w:cs="Times New Roman"/>
                <w:b/>
                <w:bCs/>
                <w:color w:val="000000"/>
                <w:sz w:val="20"/>
                <w:szCs w:val="20"/>
              </w:rPr>
            </w:pPr>
            <w:r w:rsidRPr="00483575">
              <w:rPr>
                <w:rFonts w:ascii="Aptos Narrow" w:eastAsia="Aptos" w:hAnsi="Aptos Narrow" w:cs="Times New Roman"/>
                <w:b/>
                <w:bCs/>
                <w:color w:val="000000"/>
                <w:sz w:val="20"/>
                <w:szCs w:val="20"/>
              </w:rPr>
              <w:t>0,00</w:t>
            </w:r>
          </w:p>
        </w:tc>
      </w:tr>
      <w:tr w:rsidR="00483575" w:rsidRPr="00483575" w14:paraId="1183C4E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9EE18F" w14:textId="77777777" w:rsidR="00483575" w:rsidRPr="00483575" w:rsidRDefault="00483575" w:rsidP="00483575">
            <w:pPr>
              <w:spacing w:after="0" w:line="240" w:lineRule="auto"/>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3FEFCF" w14:textId="77777777" w:rsidR="00483575" w:rsidRPr="00483575" w:rsidRDefault="00483575" w:rsidP="00483575">
            <w:pPr>
              <w:spacing w:after="0" w:line="240" w:lineRule="auto"/>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DFAF43"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53A018"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316AD9"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800.000,00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DCCE2A"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DDF819" w14:textId="77777777" w:rsidR="00483575" w:rsidRPr="00483575" w:rsidRDefault="00483575" w:rsidP="00483575">
            <w:pPr>
              <w:spacing w:after="0" w:line="240" w:lineRule="auto"/>
              <w:jc w:val="right"/>
              <w:rPr>
                <w:rFonts w:ascii="Aptos Narrow" w:eastAsia="Aptos" w:hAnsi="Aptos Narrow" w:cs="Times New Roman"/>
                <w:color w:val="000000"/>
                <w:sz w:val="18"/>
                <w:szCs w:val="18"/>
              </w:rPr>
            </w:pPr>
            <w:r w:rsidRPr="00483575">
              <w:rPr>
                <w:rFonts w:ascii="Aptos Narrow" w:eastAsia="Aptos" w:hAnsi="Aptos Narrow" w:cs="Times New Roman"/>
                <w:color w:val="000000"/>
                <w:sz w:val="18"/>
                <w:szCs w:val="18"/>
              </w:rPr>
              <w:t>0,00</w:t>
            </w:r>
          </w:p>
        </w:tc>
      </w:tr>
      <w:tr w:rsidR="00483575" w:rsidRPr="00483575" w14:paraId="14B78C1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269CE1" w14:textId="77777777" w:rsidR="00483575" w:rsidRPr="00483575" w:rsidRDefault="00483575" w:rsidP="00483575">
            <w:pPr>
              <w:spacing w:after="0" w:line="240" w:lineRule="auto"/>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5D22FA" w14:textId="77777777" w:rsidR="00483575" w:rsidRPr="00483575" w:rsidRDefault="00483575" w:rsidP="00483575">
            <w:pPr>
              <w:spacing w:after="0" w:line="240" w:lineRule="auto"/>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13B659"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4752F8"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46B760"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F5E26D"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FC2F82" w14:textId="77777777" w:rsidR="00483575" w:rsidRPr="00483575" w:rsidRDefault="00483575" w:rsidP="00483575">
            <w:pPr>
              <w:spacing w:after="0" w:line="240" w:lineRule="auto"/>
              <w:jc w:val="right"/>
              <w:rPr>
                <w:rFonts w:ascii="Aptos Narrow" w:eastAsia="Aptos" w:hAnsi="Aptos Narrow" w:cs="Times New Roman"/>
                <w:color w:val="000000"/>
                <w:sz w:val="20"/>
                <w:szCs w:val="20"/>
              </w:rPr>
            </w:pPr>
            <w:r w:rsidRPr="00483575">
              <w:rPr>
                <w:rFonts w:ascii="Aptos Narrow" w:eastAsia="Aptos" w:hAnsi="Aptos Narrow" w:cs="Times New Roman"/>
                <w:color w:val="000000"/>
                <w:sz w:val="20"/>
                <w:szCs w:val="20"/>
              </w:rPr>
              <w:t> </w:t>
            </w:r>
          </w:p>
        </w:tc>
      </w:tr>
    </w:tbl>
    <w:p w14:paraId="6086C7A4" w14:textId="77777777" w:rsidR="00483575" w:rsidRPr="00483575" w:rsidRDefault="00483575" w:rsidP="00483575">
      <w:pPr>
        <w:spacing w:after="0" w:line="240" w:lineRule="auto"/>
        <w:rPr>
          <w:rFonts w:ascii="Aptos" w:eastAsia="Aptos" w:hAnsi="Aptos" w:cs="Times New Roman"/>
          <w:sz w:val="24"/>
          <w:szCs w:val="24"/>
        </w:rPr>
      </w:pPr>
    </w:p>
    <w:p w14:paraId="4926A5DE" w14:textId="54443C15" w:rsidR="00483575" w:rsidRDefault="00483575">
      <w:pPr>
        <w:rPr>
          <w:rFonts w:ascii="Arial" w:hAnsi="Arial" w:cs="Arial"/>
          <w:sz w:val="24"/>
          <w:szCs w:val="24"/>
        </w:rPr>
      </w:pPr>
      <w:r>
        <w:rPr>
          <w:rFonts w:ascii="Arial" w:hAnsi="Arial" w:cs="Arial"/>
          <w:sz w:val="24"/>
          <w:szCs w:val="24"/>
        </w:rPr>
        <w:br w:type="page"/>
      </w:r>
    </w:p>
    <w:p w14:paraId="1CFB1407" w14:textId="77777777" w:rsidR="00483575" w:rsidRDefault="00483575">
      <w:pPr>
        <w:rPr>
          <w:rFonts w:ascii="Arial" w:hAnsi="Arial" w:cs="Arial"/>
          <w:sz w:val="24"/>
          <w:szCs w:val="24"/>
        </w:rPr>
        <w:sectPr w:rsidR="00483575" w:rsidSect="002150EB">
          <w:pgSz w:w="16838" w:h="11906" w:orient="landscape"/>
          <w:pgMar w:top="567" w:right="851" w:bottom="567" w:left="851" w:header="709" w:footer="709" w:gutter="0"/>
          <w:cols w:space="708"/>
          <w:docGrid w:linePitch="360"/>
        </w:sectPr>
      </w:pPr>
    </w:p>
    <w:p w14:paraId="58C1C6F9" w14:textId="77777777" w:rsidR="00450B9B" w:rsidRDefault="00450B9B">
      <w:pPr>
        <w:rPr>
          <w:rFonts w:ascii="Arial" w:hAnsi="Arial" w:cs="Arial"/>
          <w:sz w:val="24"/>
          <w:szCs w:val="24"/>
        </w:rPr>
      </w:pPr>
    </w:p>
    <w:p w14:paraId="5B92C600" w14:textId="77777777" w:rsidR="00D424F6" w:rsidRPr="00D424F6" w:rsidRDefault="00D424F6" w:rsidP="00D424F6">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28C2C9F0" w14:textId="77777777" w:rsidR="00D424F6" w:rsidRPr="00D424F6" w:rsidRDefault="00D424F6" w:rsidP="00D424F6">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53C9D128" w14:textId="77777777" w:rsidR="00D424F6" w:rsidRPr="00D424F6" w:rsidRDefault="00D424F6" w:rsidP="00D424F6">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0069C4A0" w14:textId="77777777" w:rsidR="00D424F6" w:rsidRPr="00D424F6" w:rsidRDefault="00D424F6" w:rsidP="00D424F6">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74A8E079" w14:textId="77777777" w:rsidR="00D424F6" w:rsidRPr="00D424F6" w:rsidRDefault="00D424F6" w:rsidP="00D424F6">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0DB88490" w14:textId="67B18EFC" w:rsidR="00D424F6" w:rsidRPr="00D424F6" w:rsidRDefault="00D424F6" w:rsidP="00D424F6">
      <w:pPr>
        <w:widowControl w:val="0"/>
        <w:tabs>
          <w:tab w:val="left" w:pos="90"/>
        </w:tabs>
        <w:autoSpaceDE w:val="0"/>
        <w:autoSpaceDN w:val="0"/>
        <w:adjustRightInd w:val="0"/>
        <w:spacing w:before="15" w:after="200" w:line="276" w:lineRule="auto"/>
        <w:jc w:val="center"/>
        <w:rPr>
          <w:rFonts w:ascii="Arial" w:eastAsia="Times New Roman" w:hAnsi="Arial" w:cs="Arial"/>
          <w:b/>
          <w:color w:val="000000"/>
          <w:kern w:val="0"/>
          <w:sz w:val="28"/>
          <w:szCs w:val="28"/>
          <w:lang w:eastAsia="hr-HR"/>
          <w14:ligatures w14:val="none"/>
        </w:rPr>
      </w:pPr>
      <w:r w:rsidRPr="00D424F6">
        <w:rPr>
          <w:rFonts w:ascii="Arial" w:eastAsia="Times New Roman" w:hAnsi="Arial" w:cs="Arial"/>
          <w:b/>
          <w:color w:val="000000"/>
          <w:kern w:val="0"/>
          <w:sz w:val="28"/>
          <w:szCs w:val="28"/>
          <w:lang w:eastAsia="hr-HR"/>
          <w14:ligatures w14:val="none"/>
        </w:rPr>
        <w:t>II.  POSEBNI DIO</w:t>
      </w:r>
    </w:p>
    <w:p w14:paraId="7AC23AE3" w14:textId="77777777" w:rsidR="00D424F6" w:rsidRPr="00D424F6" w:rsidRDefault="00D424F6" w:rsidP="00D424F6">
      <w:pPr>
        <w:widowControl w:val="0"/>
        <w:tabs>
          <w:tab w:val="center" w:pos="5272"/>
        </w:tabs>
        <w:autoSpaceDE w:val="0"/>
        <w:autoSpaceDN w:val="0"/>
        <w:adjustRightInd w:val="0"/>
        <w:spacing w:before="209" w:after="200" w:line="276" w:lineRule="auto"/>
        <w:jc w:val="center"/>
        <w:rPr>
          <w:rFonts w:ascii="Arial" w:eastAsia="Times New Roman" w:hAnsi="Arial" w:cs="Arial"/>
          <w:b/>
          <w:kern w:val="0"/>
          <w:sz w:val="24"/>
          <w:szCs w:val="24"/>
          <w:lang w:eastAsia="hr-HR"/>
          <w14:ligatures w14:val="none"/>
        </w:rPr>
      </w:pPr>
    </w:p>
    <w:p w14:paraId="085A079C" w14:textId="21C753E8" w:rsidR="00D424F6" w:rsidRPr="00D424F6" w:rsidRDefault="00D424F6" w:rsidP="00D424F6">
      <w:pPr>
        <w:widowControl w:val="0"/>
        <w:tabs>
          <w:tab w:val="center" w:pos="5272"/>
        </w:tabs>
        <w:autoSpaceDE w:val="0"/>
        <w:autoSpaceDN w:val="0"/>
        <w:adjustRightInd w:val="0"/>
        <w:spacing w:before="209" w:after="200" w:line="276" w:lineRule="auto"/>
        <w:jc w:val="center"/>
        <w:rPr>
          <w:rFonts w:ascii="Arial" w:eastAsia="Times New Roman" w:hAnsi="Arial" w:cs="Arial"/>
          <w:b/>
          <w:bCs/>
          <w:color w:val="000000"/>
          <w:kern w:val="0"/>
          <w:sz w:val="24"/>
          <w:szCs w:val="24"/>
          <w:lang w:eastAsia="hr-HR"/>
          <w14:ligatures w14:val="none"/>
        </w:rPr>
      </w:pPr>
      <w:r w:rsidRPr="00D424F6">
        <w:rPr>
          <w:rFonts w:ascii="Arial" w:eastAsia="Times New Roman" w:hAnsi="Arial" w:cs="Arial"/>
          <w:b/>
          <w:bCs/>
          <w:color w:val="000000"/>
          <w:kern w:val="0"/>
          <w:sz w:val="24"/>
          <w:szCs w:val="24"/>
          <w:lang w:eastAsia="hr-HR"/>
          <w14:ligatures w14:val="none"/>
        </w:rPr>
        <w:t>Članak 3.</w:t>
      </w:r>
    </w:p>
    <w:p w14:paraId="00E2A9F1" w14:textId="77777777" w:rsidR="00D424F6" w:rsidRPr="00D424F6" w:rsidRDefault="00D424F6" w:rsidP="00D424F6">
      <w:pPr>
        <w:widowControl w:val="0"/>
        <w:tabs>
          <w:tab w:val="left" w:pos="90"/>
        </w:tabs>
        <w:autoSpaceDE w:val="0"/>
        <w:autoSpaceDN w:val="0"/>
        <w:adjustRightInd w:val="0"/>
        <w:spacing w:after="200" w:line="276" w:lineRule="auto"/>
        <w:jc w:val="both"/>
        <w:rPr>
          <w:rFonts w:ascii="Arial" w:eastAsia="Times New Roman" w:hAnsi="Arial" w:cs="Arial"/>
          <w:color w:val="000000"/>
          <w:kern w:val="0"/>
          <w:sz w:val="24"/>
          <w:szCs w:val="24"/>
          <w:lang w:eastAsia="hr-HR"/>
          <w14:ligatures w14:val="none"/>
        </w:rPr>
      </w:pPr>
    </w:p>
    <w:p w14:paraId="129E33DB" w14:textId="77777777" w:rsidR="00D424F6" w:rsidRPr="00D424F6" w:rsidRDefault="00D424F6" w:rsidP="00D424F6">
      <w:pPr>
        <w:widowControl w:val="0"/>
        <w:tabs>
          <w:tab w:val="left" w:pos="284"/>
        </w:tabs>
        <w:autoSpaceDE w:val="0"/>
        <w:autoSpaceDN w:val="0"/>
        <w:adjustRightInd w:val="0"/>
        <w:spacing w:after="200" w:line="276" w:lineRule="auto"/>
        <w:ind w:right="960"/>
        <w:jc w:val="both"/>
        <w:rPr>
          <w:rFonts w:ascii="Arial" w:eastAsia="Times New Roman" w:hAnsi="Arial" w:cs="Arial"/>
          <w:color w:val="000000"/>
          <w:kern w:val="0"/>
          <w:sz w:val="24"/>
          <w:szCs w:val="24"/>
          <w:lang w:eastAsia="hr-HR"/>
          <w14:ligatures w14:val="none"/>
        </w:rPr>
      </w:pPr>
      <w:r w:rsidRPr="00D424F6">
        <w:rPr>
          <w:rFonts w:ascii="Arial" w:eastAsia="Times New Roman" w:hAnsi="Arial" w:cs="Arial"/>
          <w:color w:val="000000"/>
          <w:kern w:val="0"/>
          <w:sz w:val="24"/>
          <w:szCs w:val="24"/>
          <w:lang w:eastAsia="hr-HR"/>
          <w14:ligatures w14:val="none"/>
        </w:rPr>
        <w:t xml:space="preserve">       Rashodi i izdaci u posebnom dijelu  Proračuna raspoređuju se po razdjelima, glavama, proračunskim  korisnicima i ostalim korisnicima  proračunskih sredstava po organizacijskoj, ekonomskoj, funkcijskoj i programskoj klasifikaciji, te po izvorima financiranja, kako slijedi:</w:t>
      </w:r>
    </w:p>
    <w:p w14:paraId="5A381FF7" w14:textId="77777777" w:rsidR="00D424F6" w:rsidRPr="00D424F6" w:rsidRDefault="00D424F6" w:rsidP="00D424F6">
      <w:pPr>
        <w:spacing w:after="200" w:line="276" w:lineRule="auto"/>
        <w:jc w:val="both"/>
        <w:rPr>
          <w:rFonts w:ascii="Arial" w:eastAsia="Times New Roman" w:hAnsi="Arial" w:cs="Arial"/>
          <w:kern w:val="0"/>
          <w:sz w:val="24"/>
          <w:szCs w:val="24"/>
          <w:lang w:eastAsia="hr-HR"/>
          <w14:ligatures w14:val="none"/>
        </w:rPr>
      </w:pPr>
    </w:p>
    <w:p w14:paraId="362F300B" w14:textId="76EAB682" w:rsidR="00D424F6" w:rsidRDefault="00D424F6">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14593CC1" w14:textId="77777777" w:rsidR="005F3EBD" w:rsidRDefault="005F3EBD" w:rsidP="00D424F6">
      <w:pPr>
        <w:spacing w:after="200" w:line="276" w:lineRule="auto"/>
        <w:rPr>
          <w:rFonts w:ascii="Arial" w:eastAsia="Times New Roman" w:hAnsi="Arial" w:cs="Arial"/>
          <w:kern w:val="0"/>
          <w:sz w:val="24"/>
          <w:szCs w:val="24"/>
          <w:lang w:eastAsia="hr-HR"/>
          <w14:ligatures w14:val="none"/>
        </w:rPr>
        <w:sectPr w:rsidR="005F3EBD" w:rsidSect="00483575">
          <w:pgSz w:w="11906" w:h="16838"/>
          <w:pgMar w:top="851" w:right="567" w:bottom="851" w:left="567" w:header="709" w:footer="709" w:gutter="0"/>
          <w:cols w:space="708"/>
          <w:docGrid w:linePitch="360"/>
        </w:sectPr>
      </w:pPr>
    </w:p>
    <w:tbl>
      <w:tblPr>
        <w:tblW w:w="14900" w:type="dxa"/>
        <w:tblCellMar>
          <w:left w:w="0" w:type="dxa"/>
          <w:right w:w="0" w:type="dxa"/>
        </w:tblCellMar>
        <w:tblLook w:val="04A0" w:firstRow="1" w:lastRow="0" w:firstColumn="1" w:lastColumn="0" w:noHBand="0" w:noVBand="1"/>
      </w:tblPr>
      <w:tblGrid>
        <w:gridCol w:w="1340"/>
        <w:gridCol w:w="5860"/>
        <w:gridCol w:w="1540"/>
        <w:gridCol w:w="1540"/>
        <w:gridCol w:w="1540"/>
        <w:gridCol w:w="1540"/>
        <w:gridCol w:w="1540"/>
      </w:tblGrid>
      <w:tr w:rsidR="00903489" w:rsidRPr="00903489" w14:paraId="193510AE" w14:textId="77777777" w:rsidTr="005B5D4C">
        <w:trPr>
          <w:trHeight w:val="480"/>
        </w:trPr>
        <w:tc>
          <w:tcPr>
            <w:tcW w:w="14900" w:type="dxa"/>
            <w:gridSpan w:val="7"/>
            <w:tcBorders>
              <w:top w:val="nil"/>
              <w:left w:val="nil"/>
              <w:bottom w:val="nil"/>
              <w:right w:val="nil"/>
            </w:tcBorders>
            <w:noWrap/>
            <w:tcMar>
              <w:top w:w="15" w:type="dxa"/>
              <w:left w:w="15" w:type="dxa"/>
              <w:bottom w:w="0" w:type="dxa"/>
              <w:right w:w="15" w:type="dxa"/>
            </w:tcMar>
            <w:vAlign w:val="center"/>
            <w:hideMark/>
          </w:tcPr>
          <w:p w14:paraId="282E746C" w14:textId="77777777" w:rsidR="00903489" w:rsidRPr="00903489" w:rsidRDefault="00903489" w:rsidP="00903489">
            <w:pPr>
              <w:spacing w:after="0" w:line="240" w:lineRule="auto"/>
              <w:rPr>
                <w:rFonts w:ascii="Aptos Narrow" w:eastAsia="Aptos" w:hAnsi="Aptos Narrow" w:cs="Times New Roman"/>
                <w:b/>
                <w:bCs/>
                <w:color w:val="000000"/>
                <w:sz w:val="36"/>
                <w:szCs w:val="36"/>
              </w:rPr>
            </w:pPr>
            <w:r w:rsidRPr="00903489">
              <w:rPr>
                <w:rFonts w:ascii="Aptos Narrow" w:eastAsia="Aptos" w:hAnsi="Aptos Narrow" w:cs="Times New Roman"/>
                <w:b/>
                <w:bCs/>
                <w:color w:val="000000"/>
                <w:sz w:val="36"/>
                <w:szCs w:val="36"/>
              </w:rPr>
              <w:lastRenderedPageBreak/>
              <w:t>Proračun 2026.</w:t>
            </w:r>
          </w:p>
        </w:tc>
      </w:tr>
      <w:tr w:rsidR="00903489" w:rsidRPr="00903489" w14:paraId="20CA333C" w14:textId="77777777" w:rsidTr="005B5D4C">
        <w:trPr>
          <w:trHeight w:val="375"/>
        </w:trPr>
        <w:tc>
          <w:tcPr>
            <w:tcW w:w="0" w:type="auto"/>
            <w:gridSpan w:val="7"/>
            <w:tcBorders>
              <w:top w:val="nil"/>
              <w:left w:val="nil"/>
              <w:bottom w:val="nil"/>
              <w:right w:val="nil"/>
            </w:tcBorders>
            <w:noWrap/>
            <w:tcMar>
              <w:top w:w="15" w:type="dxa"/>
              <w:left w:w="15" w:type="dxa"/>
              <w:bottom w:w="0" w:type="dxa"/>
              <w:right w:w="15" w:type="dxa"/>
            </w:tcMar>
            <w:vAlign w:val="center"/>
            <w:hideMark/>
          </w:tcPr>
          <w:p w14:paraId="23CD9497" w14:textId="77777777" w:rsidR="00903489" w:rsidRPr="00903489" w:rsidRDefault="00903489" w:rsidP="00903489">
            <w:pPr>
              <w:spacing w:after="0" w:line="240" w:lineRule="auto"/>
              <w:rPr>
                <w:rFonts w:ascii="Aptos Narrow" w:eastAsia="Aptos" w:hAnsi="Aptos Narrow" w:cs="Times New Roman"/>
                <w:color w:val="000000"/>
                <w:sz w:val="28"/>
                <w:szCs w:val="28"/>
              </w:rPr>
            </w:pPr>
            <w:r w:rsidRPr="00903489">
              <w:rPr>
                <w:rFonts w:ascii="Aptos Narrow" w:eastAsia="Aptos" w:hAnsi="Aptos Narrow" w:cs="Times New Roman"/>
                <w:color w:val="000000"/>
                <w:sz w:val="28"/>
                <w:szCs w:val="28"/>
              </w:rPr>
              <w:t>II. POSEBNI DIO</w:t>
            </w:r>
          </w:p>
        </w:tc>
      </w:tr>
      <w:tr w:rsidR="00903489" w:rsidRPr="00903489" w14:paraId="7C7F0B4C"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081C3820" w14:textId="77777777" w:rsidR="00903489" w:rsidRPr="00903489" w:rsidRDefault="00903489" w:rsidP="00903489">
            <w:pPr>
              <w:spacing w:after="0" w:line="240" w:lineRule="auto"/>
              <w:rPr>
                <w:rFonts w:ascii="Aptos Narrow" w:eastAsia="Aptos" w:hAnsi="Aptos Narrow" w:cs="Times New Roman"/>
                <w:color w:val="000000"/>
                <w:sz w:val="28"/>
                <w:szCs w:val="28"/>
              </w:rPr>
            </w:pPr>
          </w:p>
        </w:tc>
        <w:tc>
          <w:tcPr>
            <w:tcW w:w="0" w:type="auto"/>
            <w:tcBorders>
              <w:top w:val="nil"/>
              <w:left w:val="nil"/>
              <w:bottom w:val="nil"/>
              <w:right w:val="nil"/>
            </w:tcBorders>
            <w:noWrap/>
            <w:tcMar>
              <w:top w:w="15" w:type="dxa"/>
              <w:left w:w="15" w:type="dxa"/>
              <w:bottom w:w="0" w:type="dxa"/>
              <w:right w:w="15" w:type="dxa"/>
            </w:tcMar>
            <w:vAlign w:val="bottom"/>
            <w:hideMark/>
          </w:tcPr>
          <w:p w14:paraId="3DA1E75C" w14:textId="77777777" w:rsidR="00903489" w:rsidRPr="00903489" w:rsidRDefault="00903489" w:rsidP="0090348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735960F" w14:textId="77777777" w:rsidR="00903489" w:rsidRPr="00903489" w:rsidRDefault="00903489" w:rsidP="0090348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CA6490"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80BB1C"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96F000"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81E6C5" w14:textId="77777777" w:rsidR="00903489" w:rsidRPr="00903489" w:rsidRDefault="00903489" w:rsidP="00903489">
            <w:pPr>
              <w:spacing w:after="0" w:line="240" w:lineRule="auto"/>
              <w:jc w:val="right"/>
              <w:rPr>
                <w:rFonts w:ascii="Aptos" w:eastAsia="Aptos" w:hAnsi="Aptos" w:cs="Times New Roman"/>
                <w:sz w:val="20"/>
                <w:szCs w:val="20"/>
              </w:rPr>
            </w:pPr>
          </w:p>
        </w:tc>
      </w:tr>
      <w:tr w:rsidR="00903489" w:rsidRPr="00903489" w14:paraId="00A07D60" w14:textId="77777777" w:rsidTr="005B5D4C">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30E16D01"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1F85B8" w14:textId="77777777" w:rsidR="00903489" w:rsidRPr="00903489" w:rsidRDefault="00903489" w:rsidP="0090348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B59D32F" w14:textId="77777777" w:rsidR="00903489" w:rsidRPr="00903489" w:rsidRDefault="00903489" w:rsidP="00903489">
            <w:pPr>
              <w:spacing w:after="0" w:line="240" w:lineRule="auto"/>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07AF21"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D664FA"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8EC7216" w14:textId="77777777" w:rsidR="00903489" w:rsidRPr="00903489" w:rsidRDefault="00903489" w:rsidP="00903489">
            <w:pPr>
              <w:spacing w:after="0" w:line="240" w:lineRule="auto"/>
              <w:jc w:val="right"/>
              <w:rPr>
                <w:rFonts w:ascii="Aptos" w:eastAsia="Aptos" w:hAnsi="Aptos"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E1705D" w14:textId="77777777" w:rsidR="00903489" w:rsidRPr="00903489" w:rsidRDefault="00903489" w:rsidP="00903489">
            <w:pPr>
              <w:spacing w:after="0" w:line="240" w:lineRule="auto"/>
              <w:jc w:val="right"/>
              <w:rPr>
                <w:rFonts w:ascii="Aptos" w:eastAsia="Aptos" w:hAnsi="Aptos" w:cs="Times New Roman"/>
                <w:sz w:val="20"/>
                <w:szCs w:val="20"/>
              </w:rPr>
            </w:pPr>
          </w:p>
        </w:tc>
      </w:tr>
      <w:tr w:rsidR="00903489" w:rsidRPr="00903489" w14:paraId="0A5BD666" w14:textId="77777777" w:rsidTr="005B5D4C">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27F67A55" w14:textId="77777777" w:rsidR="00903489" w:rsidRPr="00903489" w:rsidRDefault="00903489" w:rsidP="00903489">
            <w:pPr>
              <w:spacing w:after="0" w:line="240" w:lineRule="auto"/>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001</w:t>
            </w:r>
          </w:p>
        </w:tc>
        <w:tc>
          <w:tcPr>
            <w:tcW w:w="5860" w:type="dxa"/>
            <w:tcBorders>
              <w:top w:val="single" w:sz="4" w:space="0" w:color="000000"/>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5BFDA09" w14:textId="77777777" w:rsidR="00903489" w:rsidRPr="00903489" w:rsidRDefault="00903489" w:rsidP="00903489">
            <w:pPr>
              <w:spacing w:after="0" w:line="240" w:lineRule="auto"/>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PREDSTAVNIČKA I IZVRŠNA TIJELA GRADA I MJESNE SAMOUPRAVE</w:t>
            </w:r>
          </w:p>
        </w:tc>
        <w:tc>
          <w:tcPr>
            <w:tcW w:w="1540" w:type="dxa"/>
            <w:tcBorders>
              <w:top w:val="single" w:sz="4" w:space="0" w:color="000000"/>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1C1C515E"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4.128.447,55</w:t>
            </w:r>
          </w:p>
        </w:tc>
        <w:tc>
          <w:tcPr>
            <w:tcW w:w="1540" w:type="dxa"/>
            <w:tcBorders>
              <w:top w:val="single" w:sz="4" w:space="0" w:color="000000"/>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056A46E3"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10.950.727,90</w:t>
            </w:r>
          </w:p>
        </w:tc>
        <w:tc>
          <w:tcPr>
            <w:tcW w:w="1540" w:type="dxa"/>
            <w:tcBorders>
              <w:top w:val="single" w:sz="4" w:space="0" w:color="000000"/>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592E2DBB"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9.383.241,50</w:t>
            </w:r>
          </w:p>
        </w:tc>
        <w:tc>
          <w:tcPr>
            <w:tcW w:w="1540" w:type="dxa"/>
            <w:tcBorders>
              <w:top w:val="single" w:sz="4" w:space="0" w:color="000000"/>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5B9D52C5"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6.477.526,24</w:t>
            </w:r>
          </w:p>
        </w:tc>
        <w:tc>
          <w:tcPr>
            <w:tcW w:w="1540" w:type="dxa"/>
            <w:tcBorders>
              <w:top w:val="single" w:sz="4" w:space="0" w:color="000000"/>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D7D48BA"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6.022.104,50</w:t>
            </w:r>
          </w:p>
        </w:tc>
      </w:tr>
      <w:tr w:rsidR="00903489" w:rsidRPr="00903489" w14:paraId="76151BE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03CBDD5"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00101</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54B3F64"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GRADSKO VIJEĆE,GRADONAČELNIK I ODBORI</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2CB9CD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272.533,50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84CF79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470.530,00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BC23B23"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466.800,00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5636FE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469.024,00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2C7CD1F"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471.248,00</w:t>
            </w:r>
          </w:p>
        </w:tc>
      </w:tr>
      <w:tr w:rsidR="00903489" w:rsidRPr="00903489" w14:paraId="0D343D38"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2DCD160"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1001</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C5922F9"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AKTIVNOSTI IZVRŠNIH I PREDSTAVNIČKIH TIJELA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29F6EC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272.533,50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96A2E6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470.530,00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982D1E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466.800,00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ABC46E3"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469.024,00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3F871D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471.248,00</w:t>
            </w:r>
          </w:p>
        </w:tc>
      </w:tr>
      <w:tr w:rsidR="00903489" w:rsidRPr="00903489" w14:paraId="38AB10F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1D475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A100101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469EB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REDOVNO POSLOVANJE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4378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20.339,95</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68D1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91.200,00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933E94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93.400,00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87EC4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93.867,00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4804A3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94.334,00</w:t>
            </w:r>
          </w:p>
        </w:tc>
      </w:tr>
      <w:tr w:rsidR="00903489" w:rsidRPr="00903489" w14:paraId="59DF942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B5D0E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1C289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4D768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20.339,95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C80A4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91.200,00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402B3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93.400,00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C644C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93.867,00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496CC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94.334,00</w:t>
            </w:r>
          </w:p>
        </w:tc>
      </w:tr>
      <w:tr w:rsidR="00903489" w:rsidRPr="00903489" w14:paraId="2282744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44091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1D9E8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57A5E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20.339,95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83F7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BC4F8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45066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88.138,50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3752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88.577,00</w:t>
            </w:r>
          </w:p>
        </w:tc>
      </w:tr>
      <w:tr w:rsidR="00903489" w:rsidRPr="00903489" w14:paraId="4D9F88D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B354C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C75A3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DCAB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12.339,81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A29AB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16C1A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0666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21.607,50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3580E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21.715,00</w:t>
            </w:r>
          </w:p>
        </w:tc>
      </w:tr>
      <w:tr w:rsidR="00903489" w:rsidRPr="00903489" w14:paraId="077260F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50A4C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CE1A8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DC2B0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8.000,14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6B3C5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66.200,00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F6305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66.200,00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AA556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66.531,00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9BF0D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66.862,00</w:t>
            </w:r>
          </w:p>
        </w:tc>
      </w:tr>
      <w:tr w:rsidR="00903489" w:rsidRPr="00903489" w14:paraId="4E91CAB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FD96F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94D83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37C46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7722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66E20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F9090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5.728,50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DCCC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5.757,00</w:t>
            </w:r>
          </w:p>
        </w:tc>
      </w:tr>
      <w:tr w:rsidR="00903489" w:rsidRPr="00903489" w14:paraId="619FC7C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1BA02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DCF7A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158D9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E4F3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6FB04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CA8F6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5.728,50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ED173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5.757,00</w:t>
            </w:r>
          </w:p>
        </w:tc>
      </w:tr>
      <w:tr w:rsidR="00903489" w:rsidRPr="00903489" w14:paraId="4960D620"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9BF3B3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A100102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4F695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DUŽNOSNICI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98A4AC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100.852,27</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63E2B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168.330,00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7FDCE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154.400,00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ED53E2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155.172,00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5BD473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155.944,00</w:t>
            </w:r>
          </w:p>
        </w:tc>
      </w:tr>
      <w:tr w:rsidR="00903489" w:rsidRPr="00903489" w14:paraId="2FB2A3A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0373B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7B61D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65429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100.852,27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B820E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168.330,00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D3F2E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154.400,00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1B24D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155.172,00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62506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155.944,00</w:t>
            </w:r>
          </w:p>
        </w:tc>
      </w:tr>
      <w:tr w:rsidR="00903489" w:rsidRPr="00903489" w14:paraId="4E245DC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3C442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0EB4B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381E7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100.103,27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F5550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166.330,00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CAF3C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152.400,00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F7399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153.162,00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68377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153.924,00</w:t>
            </w:r>
          </w:p>
        </w:tc>
      </w:tr>
      <w:tr w:rsidR="00903489" w:rsidRPr="00903489" w14:paraId="7CB2CA4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2F09D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9A4A4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21AF8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55.059,80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57F7E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CE50A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95.200,00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F8FA8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95.676,00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B0AB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96.152,00</w:t>
            </w:r>
          </w:p>
        </w:tc>
      </w:tr>
      <w:tr w:rsidR="00903489" w:rsidRPr="00903489" w14:paraId="3A425C1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07794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C5B26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5ADAA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45.043,47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826D4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48.630,00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A794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57.200,00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EDBDC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57.486,00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962CD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57.772,00</w:t>
            </w:r>
          </w:p>
        </w:tc>
      </w:tr>
      <w:tr w:rsidR="00903489" w:rsidRPr="00903489" w14:paraId="5FA1B59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D2C19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5A317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27CFF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749,00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61D94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D9222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0016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6068C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w:t>
            </w:r>
          </w:p>
        </w:tc>
      </w:tr>
      <w:tr w:rsidR="00903489" w:rsidRPr="00903489" w14:paraId="0195136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BFA34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E8346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2E800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749,00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F239A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9A7C7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A6591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B4C27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w:t>
            </w:r>
          </w:p>
        </w:tc>
      </w:tr>
      <w:tr w:rsidR="00903489" w:rsidRPr="00903489" w14:paraId="010159D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F16AE9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A100103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4348B9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GRADSKE SVEČANOSTI, POKROVITELJSTVA I SPONZORSTVA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DC99D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151.341,28</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005BEF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77BF3F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219.000,00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4BAD6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219.985,00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7479A9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220.970,00</w:t>
            </w:r>
          </w:p>
        </w:tc>
      </w:tr>
      <w:tr w:rsidR="00903489" w:rsidRPr="00903489" w14:paraId="511057C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E114B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E417A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6D4ED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151.341,28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7610B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6C973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209.700,00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F13B0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210.638,50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72115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211.577,00</w:t>
            </w:r>
          </w:p>
        </w:tc>
      </w:tr>
      <w:tr w:rsidR="00903489" w:rsidRPr="00903489" w14:paraId="6527D5C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043BF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7D684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16DEF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151.341,28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7360F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5CFF3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B8908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210.638,50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8CEB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211.577,00</w:t>
            </w:r>
          </w:p>
        </w:tc>
      </w:tr>
      <w:tr w:rsidR="00903489" w:rsidRPr="00903489" w14:paraId="69EBA2F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41DDE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E9FAB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4459F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151.341,28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3BE22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6087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3A36D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210.638,50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561EE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211.577,00</w:t>
            </w:r>
          </w:p>
        </w:tc>
      </w:tr>
      <w:tr w:rsidR="00903489" w:rsidRPr="00903489" w14:paraId="3EDEDF3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D78F9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lastRenderedPageBreak/>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AB32C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C796E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F4952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0BABD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CC8F3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9.346,50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9EA2F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9.393,00</w:t>
            </w:r>
          </w:p>
        </w:tc>
      </w:tr>
      <w:tr w:rsidR="00903489" w:rsidRPr="00903489" w14:paraId="3AB8424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25C94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A848A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F89CB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A0F51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E760A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74A73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9.346,50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3F9EB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9.393,00</w:t>
            </w:r>
          </w:p>
        </w:tc>
      </w:tr>
      <w:tr w:rsidR="00903489" w:rsidRPr="00903489" w14:paraId="747E977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D42E7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072EF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A1D2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188CF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E4128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A8A7F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9.346,50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410C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9.393,00</w:t>
            </w:r>
          </w:p>
        </w:tc>
      </w:tr>
      <w:tr w:rsidR="00903489" w:rsidRPr="00903489" w14:paraId="58319392"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7865367"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00102</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73A6ADD"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UPRAVNI ODJEL ZA KOMUNALNE, GOSPODARSKE, DRUŠTVENE DJELATNOSTI I STRUČNE POSLOVE</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7226EF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399.975,70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F07A29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663.387,50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2F46E4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716.940,00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637F00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720.524,70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AFF88D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724.109,40</w:t>
            </w:r>
          </w:p>
        </w:tc>
      </w:tr>
      <w:tr w:rsidR="00903489" w:rsidRPr="00903489" w14:paraId="21AD3FE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0F71E5C"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1002</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3546C7E"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UPRAVA I ADMINISTRACIJA  UPRAVNOG ODJELA I</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8D2D2A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399.975,70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AE8FEF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663.387,50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78A304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716.940,00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B6C13B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720.524,70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C3D95E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724.109,40</w:t>
            </w:r>
          </w:p>
        </w:tc>
      </w:tr>
      <w:tr w:rsidR="00903489" w:rsidRPr="00903489" w14:paraId="0AB0D88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7A1BA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A100201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82894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REDOVNO POSLOVANJE-OPĆI RASHODI TIJELA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3D8BBC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399.975,70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CA7FB6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663.387,50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63CCB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716.940,00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B295D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720.524,70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C2AA2B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724.109,40</w:t>
            </w:r>
          </w:p>
        </w:tc>
      </w:tr>
      <w:tr w:rsidR="00903489" w:rsidRPr="00903489" w14:paraId="6B3BA31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6FF76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7413E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2B34D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399.975,70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970C5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663.387,50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C1901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296.940,00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C0BEE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720.524,70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6999B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633.209,40</w:t>
            </w:r>
          </w:p>
        </w:tc>
      </w:tr>
      <w:tr w:rsidR="00903489" w:rsidRPr="00903489" w14:paraId="6C0F040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EC11A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6F0AC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FCD0C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392.118,55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E2386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653.687,50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99FC7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286.740,00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782F0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710.273,70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B14E2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622.907,40</w:t>
            </w:r>
          </w:p>
        </w:tc>
      </w:tr>
      <w:tr w:rsidR="00903489" w:rsidRPr="00903489" w14:paraId="39ACF76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19872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62FFD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FDD40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251.844,45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BC63E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399.387,50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51F1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ADB85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460.430,70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85F24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462.721,40</w:t>
            </w:r>
          </w:p>
        </w:tc>
      </w:tr>
      <w:tr w:rsidR="00903489" w:rsidRPr="00903489" w14:paraId="06B8913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9CAB7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6C08F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A1DA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140.274,10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4E257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254.300,00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00162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248.600,00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5FB54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249.843,00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BA6B7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160.186,00</w:t>
            </w:r>
          </w:p>
        </w:tc>
      </w:tr>
      <w:tr w:rsidR="00903489" w:rsidRPr="00903489" w14:paraId="6657607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A6C5B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FAD65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FCB22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7.857,15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4A412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B2529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7CB3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10.251,00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DAEA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10.302,00</w:t>
            </w:r>
          </w:p>
        </w:tc>
      </w:tr>
      <w:tr w:rsidR="00903489" w:rsidRPr="00903489" w14:paraId="177980A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BDEE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43874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A8B70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838A3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5B7DE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F92F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A4F5E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w:t>
            </w:r>
          </w:p>
        </w:tc>
      </w:tr>
      <w:tr w:rsidR="00903489" w:rsidRPr="00903489" w14:paraId="2932A0E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49AC6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6699F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2D1B3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1.607,15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7AE36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72C40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D62F4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5.226,00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DFC91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5.252,00</w:t>
            </w:r>
          </w:p>
        </w:tc>
      </w:tr>
      <w:tr w:rsidR="00903489" w:rsidRPr="00903489" w14:paraId="4741D7D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54333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3E52C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FB395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D2D72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93ECD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F11A6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8F447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90.900,00</w:t>
            </w:r>
          </w:p>
        </w:tc>
      </w:tr>
      <w:tr w:rsidR="00903489" w:rsidRPr="00903489" w14:paraId="12DA8AB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02AB8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7A172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D722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4852C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9D4C8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8CB6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2FE7C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90.900,00</w:t>
            </w:r>
          </w:p>
        </w:tc>
      </w:tr>
      <w:tr w:rsidR="00903489" w:rsidRPr="00903489" w14:paraId="2FFD848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07E45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D0E73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4295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79A02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00F6D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0A82A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4408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5402D6A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D2CE0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36638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94A6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CA3D7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A5E90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E9C51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3A5CB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90.900,00</w:t>
            </w:r>
          </w:p>
        </w:tc>
      </w:tr>
      <w:tr w:rsidR="00903489" w:rsidRPr="00903489" w14:paraId="23EA068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BF0C0A6"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00103</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E1B51D5"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UPRAVNI ODJEL ZA PRORAČUN I FINANCIJE</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91F34B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151.578,01</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D353BBF"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299.980,00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E41F93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296.510,00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4034D8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297.992,55</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DC2595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299.475,10</w:t>
            </w:r>
          </w:p>
        </w:tc>
      </w:tr>
      <w:tr w:rsidR="00903489" w:rsidRPr="00903489" w14:paraId="6942B594"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409D54A"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1003</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8486D12"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UPRAVA I ADMINISTRACIJA  UPRAVNOG ODJELA II</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D8D28A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151.578,01</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B5E463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299.980,00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AB8B63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296.510,00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B33877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297.992,55</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2E1BDFF"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299.475,10</w:t>
            </w:r>
          </w:p>
        </w:tc>
      </w:tr>
      <w:tr w:rsidR="00903489" w:rsidRPr="00903489" w14:paraId="2D9E66C2"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F3CD5B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A100301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DFBD5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REDOVNO POSLOVANJE-OPĆI RASHODI TIJELA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16FE0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151.578,01</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C02121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299.980,00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7DABE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296.510,00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E381D1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297.992,55</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9C034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299.475,10</w:t>
            </w:r>
          </w:p>
        </w:tc>
      </w:tr>
      <w:tr w:rsidR="00903489" w:rsidRPr="00903489" w14:paraId="1FB2F4A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D8F41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1931D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998E8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151.578,01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FE665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299.980,00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A96E4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296.510,00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F85C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297.992,55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06673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95.759,54</w:t>
            </w:r>
          </w:p>
        </w:tc>
      </w:tr>
      <w:tr w:rsidR="00903489" w:rsidRPr="00903489" w14:paraId="73E9C17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5FDF8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0E9DA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C3BDB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151.578,01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5183A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293.030,00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34484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289.260,00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C6995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290.706,30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F6C4D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90.152,60</w:t>
            </w:r>
          </w:p>
        </w:tc>
      </w:tr>
      <w:tr w:rsidR="00903489" w:rsidRPr="00903489" w14:paraId="2318542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B00B4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AEB32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1B0C9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132.066,58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BF1CF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256.310,00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C7830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250.110,00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FA861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251.360,55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F65B4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50.611,10</w:t>
            </w:r>
          </w:p>
        </w:tc>
      </w:tr>
      <w:tr w:rsidR="00903489" w:rsidRPr="00903489" w14:paraId="46D7F60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60960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68B08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4851F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19.511,43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CD89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36.720,00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8E79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39.150,00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DA7F8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39.345,75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5C0FD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39.541,50</w:t>
            </w:r>
          </w:p>
        </w:tc>
      </w:tr>
      <w:tr w:rsidR="00903489" w:rsidRPr="00903489" w14:paraId="24CA09E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07603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02CB6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4171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B1E19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285A7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233D6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7.286,25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F77E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5.606,94</w:t>
            </w:r>
          </w:p>
        </w:tc>
      </w:tr>
      <w:tr w:rsidR="00903489" w:rsidRPr="00903489" w14:paraId="3A5C95C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EB7A5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C0A8F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1E7A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511C6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BAEAA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C865E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FA1D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w:t>
            </w:r>
          </w:p>
        </w:tc>
      </w:tr>
      <w:tr w:rsidR="00903489" w:rsidRPr="00903489" w14:paraId="2F21A7C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EAAF5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lastRenderedPageBreak/>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54567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87161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671C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BFA09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80D0B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5.276,25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D3F31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3.586,94</w:t>
            </w:r>
          </w:p>
        </w:tc>
      </w:tr>
      <w:tr w:rsidR="00903489" w:rsidRPr="00903489" w14:paraId="3ACDCB2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2F334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CEC91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04535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FDF2F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5FD19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F772A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F7503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203.715,56</w:t>
            </w:r>
          </w:p>
        </w:tc>
      </w:tr>
      <w:tr w:rsidR="00903489" w:rsidRPr="00903489" w14:paraId="7E31DB3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F7DB0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9A946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3C0CB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C14F8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15CA7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04F37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FD444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202.000,00</w:t>
            </w:r>
          </w:p>
        </w:tc>
      </w:tr>
      <w:tr w:rsidR="00903489" w:rsidRPr="00903489" w14:paraId="0475CBF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B2E0D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692DB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0B9E7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CC3FE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BBA17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2DF5F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421D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202.000,00</w:t>
            </w:r>
          </w:p>
        </w:tc>
      </w:tr>
      <w:tr w:rsidR="00903489" w:rsidRPr="00903489" w14:paraId="11A0647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1DF5A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64FED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91B11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4456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BE7DC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EBD4B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4B7A5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1.715,56</w:t>
            </w:r>
          </w:p>
        </w:tc>
      </w:tr>
      <w:tr w:rsidR="00903489" w:rsidRPr="00903489" w14:paraId="001406F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3B30C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CB0C5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A4915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776A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3F3D7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26719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E0D33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1.715,56</w:t>
            </w:r>
          </w:p>
        </w:tc>
      </w:tr>
      <w:tr w:rsidR="00903489" w:rsidRPr="00903489" w14:paraId="06A0F6C8"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B5C736C"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00104</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4C4BE77"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MJESNA SAMOUPRAVA</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ACBC69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3.304.360,34</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68EE6F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9.516.830,40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33ECC6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7.902.991,50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B35246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4.989.984,99</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0C23CB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4.527.272,00</w:t>
            </w:r>
          </w:p>
        </w:tc>
      </w:tr>
      <w:tr w:rsidR="00903489" w:rsidRPr="00903489" w14:paraId="1F1A6794"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827FB25"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1004</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0DAA5E3"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OPĆI RASHODI POSLOVANJA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F1AE17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205.202,00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54755B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285.860,00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CB000A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340.600,00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7160932"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342.198,00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36B86A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343.821,00</w:t>
            </w:r>
          </w:p>
        </w:tc>
      </w:tr>
      <w:tr w:rsidR="00903489" w:rsidRPr="00903489" w14:paraId="09D19092"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044C3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A100401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6EDB83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REDOVNO POSLOVANJE- MJESNI ODBORI (TEKUĆE)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C02F8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13.628,90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ED28D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18.900,00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437F5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078126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966DA4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21.025,00</w:t>
            </w:r>
          </w:p>
        </w:tc>
      </w:tr>
      <w:tr w:rsidR="00903489" w:rsidRPr="00903489" w14:paraId="1A6C552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A3E74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ECC8D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E1BA7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13.628,90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BB69D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18.900,00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D7DAD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F3F28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ABFF4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21.025,00</w:t>
            </w:r>
          </w:p>
        </w:tc>
      </w:tr>
      <w:tr w:rsidR="00903489" w:rsidRPr="00903489" w14:paraId="1CF0F76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0A97C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6D570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B0880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13.628,90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6032C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884D1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02349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A73D8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21.025,00</w:t>
            </w:r>
          </w:p>
        </w:tc>
      </w:tr>
      <w:tr w:rsidR="00903489" w:rsidRPr="00903489" w14:paraId="5968F2F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50189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CB269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94B71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13.628,90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3FC7D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18.900,00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E2539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AD31C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5A7C8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21.025,00</w:t>
            </w:r>
          </w:p>
        </w:tc>
      </w:tr>
      <w:tr w:rsidR="00903489" w:rsidRPr="00903489" w14:paraId="756CD097"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A3E653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A100402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BDED9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REDOVNA DJELATNOST</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51527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84.320,18</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D55C1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136.960,00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3A0B4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145.600,00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CED25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146.328,00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676A7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147.056,00</w:t>
            </w:r>
          </w:p>
        </w:tc>
      </w:tr>
      <w:tr w:rsidR="00903489" w:rsidRPr="00903489" w14:paraId="4F352AF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8B1DE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05FF4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20208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84.320,18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8C1F0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136.960,00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8F166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145.600,00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5C272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42.813,00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567E3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68.276,00</w:t>
            </w:r>
          </w:p>
        </w:tc>
      </w:tr>
      <w:tr w:rsidR="00903489" w:rsidRPr="00903489" w14:paraId="6B3A094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BF4DC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16CC2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A2518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84.320,18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1F6B3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136.960,00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60BA0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145.600,00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CE70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42.813,00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CBEC6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68.276,00</w:t>
            </w:r>
          </w:p>
        </w:tc>
      </w:tr>
      <w:tr w:rsidR="00903489" w:rsidRPr="00903489" w14:paraId="067B996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8205E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28B84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33057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84.320,18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6669F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136.960,00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FD307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145.600,00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38C3A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42.813,00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B6E4F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68.276,00</w:t>
            </w:r>
          </w:p>
        </w:tc>
      </w:tr>
      <w:tr w:rsidR="00903489" w:rsidRPr="00903489" w14:paraId="638AF3B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B8AF9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348C3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F416C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1BF49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8231B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B95D6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103.515,00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40BC7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78.780,00</w:t>
            </w:r>
          </w:p>
        </w:tc>
      </w:tr>
      <w:tr w:rsidR="00903489" w:rsidRPr="00903489" w14:paraId="6FFBE2B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B4FFE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C96EB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A97F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7D14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7DFFD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CC9DD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103.515,00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D1216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78.780,00</w:t>
            </w:r>
          </w:p>
        </w:tc>
      </w:tr>
      <w:tr w:rsidR="00903489" w:rsidRPr="00903489" w14:paraId="75276E1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35159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8B1C8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D3120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66A6D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1ACD2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3D75E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103.515,00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E23C1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78.780,00</w:t>
            </w:r>
          </w:p>
        </w:tc>
      </w:tr>
      <w:tr w:rsidR="00903489" w:rsidRPr="00903489" w14:paraId="51E61CC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4B7ED6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A100403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F1B825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OSIGURANJE IMOVINE I OSOBA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63984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107.252,92</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0D675E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E75CDB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174.000,00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863067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174.870,00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9FB89E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175.740,00</w:t>
            </w:r>
          </w:p>
        </w:tc>
      </w:tr>
      <w:tr w:rsidR="00903489" w:rsidRPr="00903489" w14:paraId="2D995EC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EA476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C0DBE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C034C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101.927,65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B6BC8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6B138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167.000,00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DA153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167.835,00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6D992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168.670,00</w:t>
            </w:r>
          </w:p>
        </w:tc>
      </w:tr>
      <w:tr w:rsidR="00903489" w:rsidRPr="00903489" w14:paraId="18E1306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D5206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48E6C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CA7F1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101.927,65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79850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F1D6F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D128D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167.835,00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176D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168.670,00</w:t>
            </w:r>
          </w:p>
        </w:tc>
      </w:tr>
      <w:tr w:rsidR="00903489" w:rsidRPr="00903489" w14:paraId="4BA5104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0AE3A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CCE17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F1D9C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101.927,65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3DBC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7B466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49DC2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167.835,00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8F971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168.670,00</w:t>
            </w:r>
          </w:p>
        </w:tc>
      </w:tr>
      <w:tr w:rsidR="00903489" w:rsidRPr="00903489" w14:paraId="40A82FE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6F088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70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A60EF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od nefin.imovine i nadoknade šteta od osig</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99B66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1.175,81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F6A97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D0083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D89CA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FE3E4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2.020,00</w:t>
            </w:r>
          </w:p>
        </w:tc>
      </w:tr>
      <w:tr w:rsidR="00903489" w:rsidRPr="00903489" w14:paraId="10AD99A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43033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E0363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8BD96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1.175,81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1F47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046E6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0D242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312D9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w:t>
            </w:r>
          </w:p>
        </w:tc>
      </w:tr>
      <w:tr w:rsidR="00903489" w:rsidRPr="00903489" w14:paraId="1EF0BEF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ED235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71B8D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CDE4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1.175,81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C9C9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51EC0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D923C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3E9B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w:t>
            </w:r>
          </w:p>
        </w:tc>
      </w:tr>
      <w:tr w:rsidR="00903489" w:rsidRPr="00903489" w14:paraId="14365CA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DC05B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71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D334F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A39D2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4.149,46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D0CE9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914BA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0FD0E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CE379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5.050,00</w:t>
            </w:r>
          </w:p>
        </w:tc>
      </w:tr>
      <w:tr w:rsidR="00903489" w:rsidRPr="00903489" w14:paraId="6FF0E5B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8CC47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58D3C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C06F8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4.149,46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8259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C04CB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4CA34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20087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w:t>
            </w:r>
          </w:p>
        </w:tc>
      </w:tr>
      <w:tr w:rsidR="00903489" w:rsidRPr="00903489" w14:paraId="17D7FB7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A971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6D60E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2A8EE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4.149,46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B7F9D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F9B95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4792C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D685C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w:t>
            </w:r>
          </w:p>
        </w:tc>
      </w:tr>
      <w:tr w:rsidR="00903489" w:rsidRPr="00903489" w14:paraId="704544A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D5DC17"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1005</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E69477B"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ODRŽAVANJE KOMUNALNE INFRASTRUKTURE</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7E80D7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1.948.365,44</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C58F7D3"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4.486.965,00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C284DF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4.110.900,00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142ECC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3.373.204,49</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F83043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3.156.786,00</w:t>
            </w:r>
          </w:p>
        </w:tc>
      </w:tr>
      <w:tr w:rsidR="00903489" w:rsidRPr="00903489" w14:paraId="59061F8E"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C6703D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70A6AA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UREĐENJE GROBLJA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5A9661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EBDBA9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AC554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1513D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49EBEB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w:t>
            </w:r>
          </w:p>
        </w:tc>
      </w:tr>
      <w:tr w:rsidR="00903489" w:rsidRPr="00903489" w14:paraId="09EDCBA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F57E9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05AE2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F63B4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4DB07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78C27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C9304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4D5CC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w:t>
            </w:r>
          </w:p>
        </w:tc>
      </w:tr>
      <w:tr w:rsidR="00903489" w:rsidRPr="00903489" w14:paraId="15DC56D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AAEC2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32AB9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EDEA1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3A7FA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3FD07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2DDC1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6258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w:t>
            </w:r>
          </w:p>
        </w:tc>
      </w:tr>
      <w:tr w:rsidR="00903489" w:rsidRPr="00903489" w14:paraId="1328FC1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FC2FF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C85FC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105C9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BC14B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74B6B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9216F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88F4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w:t>
            </w:r>
          </w:p>
        </w:tc>
      </w:tr>
      <w:tr w:rsidR="00903489" w:rsidRPr="00903489" w14:paraId="6499782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5BEFF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010FED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USLUGE ODRŽAVANJA ZAJEDNIČKIH OBJEKATA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0D557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61.204,76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594D4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65.500,00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B69D7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65.500,00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C4ACA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65.827,50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1FB61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66.155,00</w:t>
            </w:r>
          </w:p>
        </w:tc>
      </w:tr>
      <w:tr w:rsidR="00903489" w:rsidRPr="00903489" w14:paraId="2000979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A279C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26C7C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CBA45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32.537,40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6D7A0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EF03E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76B3C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17.386,50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DCA05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9.595,00</w:t>
            </w:r>
          </w:p>
        </w:tc>
      </w:tr>
      <w:tr w:rsidR="00903489" w:rsidRPr="00903489" w14:paraId="3701C58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C3DE6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382D3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2BBDB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32.537,40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19354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1D8F9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19EFB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15.879,00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0F10B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8.080,00</w:t>
            </w:r>
          </w:p>
        </w:tc>
      </w:tr>
      <w:tr w:rsidR="00903489" w:rsidRPr="00903489" w14:paraId="217BB17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02AB1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6AB1A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2D354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32.537,40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61725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6CE22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2DBF5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15.879,00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13965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8.080,00</w:t>
            </w:r>
          </w:p>
        </w:tc>
      </w:tr>
      <w:tr w:rsidR="00903489" w:rsidRPr="00903489" w14:paraId="02EE5C9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5419F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75139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7E43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F7354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C431E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BA17A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28FFE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1.515,00</w:t>
            </w:r>
          </w:p>
        </w:tc>
      </w:tr>
      <w:tr w:rsidR="00903489" w:rsidRPr="00903489" w14:paraId="7322594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64047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0C5F1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A8CA9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722A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DDE9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5F3B3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6F4E7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1.515,00</w:t>
            </w:r>
          </w:p>
        </w:tc>
      </w:tr>
      <w:tr w:rsidR="00903489" w:rsidRPr="00903489" w14:paraId="6A0399F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C843D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DFBF4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B9489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28.652,91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231EE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6641E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FB835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29.245,50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EAE94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29.391,00</w:t>
            </w:r>
          </w:p>
        </w:tc>
      </w:tr>
      <w:tr w:rsidR="00903489" w:rsidRPr="00903489" w14:paraId="06D6C0D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365E6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0DF7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1B06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28.652,91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E541E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1E47A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AEF07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29.245,50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4CAEB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29.391,00</w:t>
            </w:r>
          </w:p>
        </w:tc>
      </w:tr>
      <w:tr w:rsidR="00903489" w:rsidRPr="00903489" w14:paraId="5F6F7CC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B12B0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CCC8D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40DD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28.652,91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8FC64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B6C6E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F91A0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29.245,50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6777E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29.391,00</w:t>
            </w:r>
          </w:p>
        </w:tc>
      </w:tr>
      <w:tr w:rsidR="00903489" w:rsidRPr="00903489" w14:paraId="504991F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13EB4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354FE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47B76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53936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4ABDF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66ADF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2D5CA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12.928,00</w:t>
            </w:r>
          </w:p>
        </w:tc>
      </w:tr>
      <w:tr w:rsidR="00903489" w:rsidRPr="00903489" w14:paraId="76ADA0D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2B72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EA4DD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B9A4D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F5EDF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B66A4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1902C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8D9C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12.928,00</w:t>
            </w:r>
          </w:p>
        </w:tc>
      </w:tr>
      <w:tr w:rsidR="00903489" w:rsidRPr="00903489" w14:paraId="43988DA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01772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44316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277B4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23F1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2B5A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4757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F7417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12.928,00</w:t>
            </w:r>
          </w:p>
        </w:tc>
      </w:tr>
      <w:tr w:rsidR="00903489" w:rsidRPr="00903489" w14:paraId="2E1F800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7F752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72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BDE3B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od prodaje nefin. imovine u vlasništvu RH</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D66E3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14,45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4F732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00541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A7ACF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14.170,50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A222D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14.241,00</w:t>
            </w:r>
          </w:p>
        </w:tc>
      </w:tr>
      <w:tr w:rsidR="00903489" w:rsidRPr="00903489" w14:paraId="1E413DE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7F520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79B27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BFC78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14,45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57947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E65E4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BBE8F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14.170,50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E437E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14.241,00</w:t>
            </w:r>
          </w:p>
        </w:tc>
      </w:tr>
      <w:tr w:rsidR="00903489" w:rsidRPr="00903489" w14:paraId="79A4C8F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F1C95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C5444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D92A7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14,45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3DF1F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7769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19B04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14.170,50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8D3E8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14.241,00</w:t>
            </w:r>
          </w:p>
        </w:tc>
      </w:tr>
      <w:tr w:rsidR="00903489" w:rsidRPr="00903489" w14:paraId="10D352C0"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BE723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31652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UREĐENJE JAVNIH POVRŠINA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C025E9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338.985,07</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1F37D0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5105BF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A51E8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298.485,00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C91CF8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299.970,00</w:t>
            </w:r>
          </w:p>
        </w:tc>
      </w:tr>
      <w:tr w:rsidR="00903489" w:rsidRPr="00903489" w14:paraId="6FC1D23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1A480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49D17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F5A06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82.093,40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17E8B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54.521,96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475EA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0783B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54C2C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27.270,00</w:t>
            </w:r>
          </w:p>
        </w:tc>
      </w:tr>
      <w:tr w:rsidR="00903489" w:rsidRPr="00903489" w14:paraId="6D9280F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AB6EF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CCB67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820BF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82.093,40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11D6C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54.521,96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6A48A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72ABE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3A887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27.270,00</w:t>
            </w:r>
          </w:p>
        </w:tc>
      </w:tr>
      <w:tr w:rsidR="00903489" w:rsidRPr="00903489" w14:paraId="2B4AF99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69887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A56B9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1D4D5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82.093,40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2C88D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54.521,96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89E36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E62E8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94B75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27.270,00</w:t>
            </w:r>
          </w:p>
        </w:tc>
      </w:tr>
      <w:tr w:rsidR="00903489" w:rsidRPr="00903489" w14:paraId="08063D8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57216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31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A941B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Vlastiti prihodi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49CBB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26.568,90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17F51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22E24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509E7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DCADD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40.400,00</w:t>
            </w:r>
          </w:p>
        </w:tc>
      </w:tr>
      <w:tr w:rsidR="00903489" w:rsidRPr="00903489" w14:paraId="1C6D2EB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72C91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98826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CF21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26.568,90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5274C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569BD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A5144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0859E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40.400,00</w:t>
            </w:r>
          </w:p>
        </w:tc>
      </w:tr>
      <w:tr w:rsidR="00903489" w:rsidRPr="00903489" w14:paraId="37CC529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A6BC6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966BE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B78DF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26.568,90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CE590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3A5E2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3AB44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22741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40.400,00</w:t>
            </w:r>
          </w:p>
        </w:tc>
      </w:tr>
      <w:tr w:rsidR="00903489" w:rsidRPr="00903489" w14:paraId="7C52F1C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8992E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lastRenderedPageBreak/>
              <w:t>Izvor: 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D62B5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48BC7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55.904,94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73B6C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53.089,12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374F3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E8201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24FEE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80.800,00</w:t>
            </w:r>
          </w:p>
        </w:tc>
      </w:tr>
      <w:tr w:rsidR="00903489" w:rsidRPr="00903489" w14:paraId="317F65B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132D2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B8D9D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88B87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55.904,94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194D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53.089,12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C5B24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550BC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B0F3A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80.800,00</w:t>
            </w:r>
          </w:p>
        </w:tc>
      </w:tr>
      <w:tr w:rsidR="00903489" w:rsidRPr="00903489" w14:paraId="59283EF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6F065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52E2B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CF64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55.904,94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5D2D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53.089,12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A68E3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A9C4B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80.400,00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EC954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80.800,00</w:t>
            </w:r>
          </w:p>
        </w:tc>
      </w:tr>
      <w:tr w:rsidR="00903489" w:rsidRPr="00903489" w14:paraId="2D049A2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04E9C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88E21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5656C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174.417,83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4B388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159.388,92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C55E9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CB0A9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130.650,00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61479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131.300,00</w:t>
            </w:r>
          </w:p>
        </w:tc>
      </w:tr>
      <w:tr w:rsidR="00903489" w:rsidRPr="00903489" w14:paraId="62626F9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9A1D9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6DDA6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60BC9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174.417,83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2FF3E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159.388,92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ABBE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B264B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130.650,00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CE17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131.300,00</w:t>
            </w:r>
          </w:p>
        </w:tc>
      </w:tr>
      <w:tr w:rsidR="00903489" w:rsidRPr="00903489" w14:paraId="6120668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60183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8F16A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6508E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174.417,83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13E9B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159.388,92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F9700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4CEF3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130.650,00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816C3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131.300,00</w:t>
            </w:r>
          </w:p>
        </w:tc>
      </w:tr>
      <w:tr w:rsidR="00903489" w:rsidRPr="00903489" w14:paraId="4F7CD1D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09EA8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776B0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51BC8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BAE18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6B11B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93AE9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47.235,00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9D9C2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20.200,00</w:t>
            </w:r>
          </w:p>
        </w:tc>
      </w:tr>
      <w:tr w:rsidR="00903489" w:rsidRPr="00903489" w14:paraId="5B315D3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8B3C7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9B516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8EFB1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6.741,08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4493C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E6FA8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2541A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8.040,00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54FB1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8.080,00</w:t>
            </w:r>
          </w:p>
        </w:tc>
      </w:tr>
      <w:tr w:rsidR="00903489" w:rsidRPr="00903489" w14:paraId="417168C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D2329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EABCD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5C627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6.741,08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3A7C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D72F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4E7DC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3D51A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8.080,00</w:t>
            </w:r>
          </w:p>
        </w:tc>
      </w:tr>
      <w:tr w:rsidR="00903489" w:rsidRPr="00903489" w14:paraId="42C4084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CC70E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134D7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90A7D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6.741,08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8512B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2AF3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D5283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73E92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8.080,00</w:t>
            </w:r>
          </w:p>
        </w:tc>
      </w:tr>
      <w:tr w:rsidR="00903489" w:rsidRPr="00903489" w14:paraId="0137F02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7DA15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A29C5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5539A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92B45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1CFED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694F8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210.218,14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1DBF1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217.554,00</w:t>
            </w:r>
          </w:p>
        </w:tc>
      </w:tr>
      <w:tr w:rsidR="00903489" w:rsidRPr="00903489" w14:paraId="14AA1F1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03EC9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993FF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36DDF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EEF9C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F1B4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98A94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154.943,14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A3380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162.004,00</w:t>
            </w:r>
          </w:p>
        </w:tc>
      </w:tr>
      <w:tr w:rsidR="00903489" w:rsidRPr="00903489" w14:paraId="2F77BBB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77A36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C55FE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FD939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14AE5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707A2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0ACF0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154.943,14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B54DD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162.004,00</w:t>
            </w:r>
          </w:p>
        </w:tc>
      </w:tr>
      <w:tr w:rsidR="00903489" w:rsidRPr="00903489" w14:paraId="2C7C1FE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6A606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02583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E2FC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7BFFA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0B3DA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49DC6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55.275,00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9A460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55.550,00</w:t>
            </w:r>
          </w:p>
        </w:tc>
      </w:tr>
      <w:tr w:rsidR="00903489" w:rsidRPr="00903489" w14:paraId="0E25E86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E0B9B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4137F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0C9EB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320E8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650DE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D3A9E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55.275,00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2A630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55.550,00</w:t>
            </w:r>
          </w:p>
        </w:tc>
      </w:tr>
      <w:tr w:rsidR="00903489" w:rsidRPr="00903489" w14:paraId="6D9FF99E"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51576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A100509</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E93467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POTPORA POLJOPRIVREDI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04001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195.273,65</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84C55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F93FAB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B063A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292.454,99</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F8D8C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293.910,00</w:t>
            </w:r>
          </w:p>
        </w:tc>
      </w:tr>
      <w:tr w:rsidR="00903489" w:rsidRPr="00903489" w14:paraId="46B52DA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38014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95195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F9182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21A22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56C5B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30.323,00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EB56E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71541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w:t>
            </w:r>
          </w:p>
        </w:tc>
      </w:tr>
      <w:tr w:rsidR="00903489" w:rsidRPr="00903489" w14:paraId="3A58093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A584B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E2000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28F82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C576C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6B16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30.323,00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3E7A5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E7313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w:t>
            </w:r>
          </w:p>
        </w:tc>
      </w:tr>
      <w:tr w:rsidR="00903489" w:rsidRPr="00903489" w14:paraId="03C11E3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671F1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21469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9F063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BF797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A407F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30.323,00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D1CBD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85094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w:t>
            </w:r>
          </w:p>
        </w:tc>
      </w:tr>
      <w:tr w:rsidR="00903489" w:rsidRPr="00903489" w14:paraId="43476BD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B1EE4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0E73F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833BE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195.273,65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9D9B6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5EB44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260.677,00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35D73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261.980,38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8D216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263.283,77</w:t>
            </w:r>
          </w:p>
        </w:tc>
      </w:tr>
      <w:tr w:rsidR="00903489" w:rsidRPr="00903489" w14:paraId="1245225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0222B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FB15C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8070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195.273,65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6F8BD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53AB2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260.677,00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D952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261.980,38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34664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263.283,77</w:t>
            </w:r>
          </w:p>
        </w:tc>
      </w:tr>
      <w:tr w:rsidR="00903489" w:rsidRPr="00903489" w14:paraId="422B283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42337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BC9B3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9A8D8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138.579,50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345A7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7F930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193.677,00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390A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194.645,38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65F31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195.613,77</w:t>
            </w:r>
          </w:p>
        </w:tc>
      </w:tr>
      <w:tr w:rsidR="00903489" w:rsidRPr="00903489" w14:paraId="2720FFC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B1EF8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3E5D4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8CCA0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56.694,15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2F3D9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5ABBF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EA0B6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67.335,00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C5823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67.670,00</w:t>
            </w:r>
          </w:p>
        </w:tc>
      </w:tr>
      <w:tr w:rsidR="00903489" w:rsidRPr="00903489" w14:paraId="3FF5E6E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01249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E4E67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6AD6A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BA641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9EBDD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E6BCB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20.424,61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E1EAB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20.526,23</w:t>
            </w:r>
          </w:p>
        </w:tc>
      </w:tr>
      <w:tr w:rsidR="00903489" w:rsidRPr="00903489" w14:paraId="4FB67ED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A86B9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34256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8B6D9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F8ABF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E95E8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DCEF7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20.424,61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DB4A1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20.526,23</w:t>
            </w:r>
          </w:p>
        </w:tc>
      </w:tr>
      <w:tr w:rsidR="00903489" w:rsidRPr="00903489" w14:paraId="20CB937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2BFAA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3CCE7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CA4CC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EF5C8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BEA8A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57DCD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20.424,61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C0E2D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20.526,23</w:t>
            </w:r>
          </w:p>
        </w:tc>
      </w:tr>
      <w:tr w:rsidR="00903489" w:rsidRPr="00903489" w14:paraId="15882439"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E641D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A100510</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8795CC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SANACIJA ASFALTIRANIH CESTA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2E91F8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36.043,70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46C353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428CB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21E48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EC9F9F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5336D0C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E252D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91859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BE7FC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39605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31E27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55.100,00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C9C88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1F6A1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528B6A2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F4078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D1D0C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447E5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AF09E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1C7F6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51202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4B9B2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E281FA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751FB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4F2B8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46287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8B6D8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F6413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2FCA8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79225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BF0B2C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5329C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77791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6E06A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36.043,70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01381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D0950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44.900,00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F217D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45.124,50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8A6FD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45.349,00</w:t>
            </w:r>
          </w:p>
        </w:tc>
      </w:tr>
      <w:tr w:rsidR="00903489" w:rsidRPr="00903489" w14:paraId="25C8D45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06DD2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5DD8E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642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36.043,70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3482F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9061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44.900,00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F3483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45.124,50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26E26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45.349,00</w:t>
            </w:r>
          </w:p>
        </w:tc>
      </w:tr>
      <w:tr w:rsidR="00903489" w:rsidRPr="00903489" w14:paraId="605F2D9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86497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BE62B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DD7D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36.043,70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32656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68B2E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44.900,00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A502C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45.124,50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67FC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45.349,00</w:t>
            </w:r>
          </w:p>
        </w:tc>
      </w:tr>
      <w:tr w:rsidR="00903489" w:rsidRPr="00903489" w14:paraId="095C51A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65193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85AD5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57082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E12A3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1E777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D931F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55.375,50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5EE3F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55.651,00</w:t>
            </w:r>
          </w:p>
        </w:tc>
      </w:tr>
      <w:tr w:rsidR="00903489" w:rsidRPr="00903489" w14:paraId="1DB2F98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B51BC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F69BC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C2BA8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7B489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9C26B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850E6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55.375,50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85239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55.651,00</w:t>
            </w:r>
          </w:p>
        </w:tc>
      </w:tr>
      <w:tr w:rsidR="00903489" w:rsidRPr="00903489" w14:paraId="116B134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1A6C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BAC1A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A34C1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AA68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6CF4B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F548E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55.375,50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F9BA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55.651,00</w:t>
            </w:r>
          </w:p>
        </w:tc>
      </w:tr>
      <w:tr w:rsidR="00903489" w:rsidRPr="00903489" w14:paraId="17540239"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CF3F1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A100511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0B44D5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SANACIJA NOGOSTUPA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006EE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27.319,48</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05CD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9D291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3E26D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D656EA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7E2643C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E6059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717D9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EC273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A8E0D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C56D3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FAE4A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223A6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50.500,00</w:t>
            </w:r>
          </w:p>
        </w:tc>
      </w:tr>
      <w:tr w:rsidR="00903489" w:rsidRPr="00903489" w14:paraId="38337EE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02E70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66118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AFF9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EB5F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B110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C2D19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EE7CB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4032D3B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98388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BCD63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724FD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6E123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BCE4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8D4E2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FC256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50.500,00</w:t>
            </w:r>
          </w:p>
        </w:tc>
      </w:tr>
      <w:tr w:rsidR="00903489" w:rsidRPr="00903489" w14:paraId="64B4E83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F0759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DBC32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D96EF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27.319,48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834A2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C1AD2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1BFD2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CC325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4634A19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3E268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58F5F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E1C8C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27.319,48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E1046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741DB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A4FE6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F7D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4F13C43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28178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1BE25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C83D3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27.319,48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E2282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2A1A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0603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88B1A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A79E13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45BFB9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K100504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D0199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ODRŽAVANJE OBJEKATA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571824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66.460,74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9EC26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115.065,00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B945AC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56C80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155.775,00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E9AFA1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156.550,00</w:t>
            </w:r>
          </w:p>
        </w:tc>
      </w:tr>
      <w:tr w:rsidR="00903489" w:rsidRPr="00903489" w14:paraId="75148D4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C2853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7CDD8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4B626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24.266,99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09FC7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81.065,00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27BB0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3F965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46.230,00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76B54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1D022D3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7CB0A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9140F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7554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24.266,99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3EB66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81.065,00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E999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BACF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46.230,00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BF1E8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3DE252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8D1BD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724C9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F21BB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22.657,03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1F39D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FAC3A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30894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0F37D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914632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43E7F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26BB4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EC919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1.609,96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9A9A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51.065,00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33C2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BBE3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46.230,00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1699B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A44BC5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2D1FF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31360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Ostali prihodi po posebnim propisima</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F293D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2.395,63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1D9A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C20D4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84EB5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4.020,00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45FE9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4.040,00</w:t>
            </w:r>
          </w:p>
        </w:tc>
      </w:tr>
      <w:tr w:rsidR="00903489" w:rsidRPr="00903489" w14:paraId="5363A0C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FA85D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ED44F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7BE36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2.395,63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CF527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9C531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2D40F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2173C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4.040,00</w:t>
            </w:r>
          </w:p>
        </w:tc>
      </w:tr>
      <w:tr w:rsidR="00903489" w:rsidRPr="00903489" w14:paraId="628B87A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1B424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C9F3F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A1D6B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2.395,63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B8532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5BAD8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1C04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EA7B5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61ECE3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E129C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0D868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E8F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03427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1AA95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EAEE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E9383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4.040,00</w:t>
            </w:r>
          </w:p>
        </w:tc>
      </w:tr>
      <w:tr w:rsidR="00903489" w:rsidRPr="00903489" w14:paraId="3011A0F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DA7A0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8790F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D23A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0F1C1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B5009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E536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47.235,00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5EACA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20.200,00</w:t>
            </w:r>
          </w:p>
        </w:tc>
      </w:tr>
      <w:tr w:rsidR="00903489" w:rsidRPr="00903489" w14:paraId="612CA9B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58DC9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13D49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D06E9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30664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D1C66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B5583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47.235,00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0677B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20.200,00</w:t>
            </w:r>
          </w:p>
        </w:tc>
      </w:tr>
      <w:tr w:rsidR="00903489" w:rsidRPr="00903489" w14:paraId="1E956135"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97878D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A100507</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DC0F7B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ODRŽAVANJE JAVNE RASVJETE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EEC34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18.261,99</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6A1006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998CFC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68AC4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25.125,00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8A64AE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25.250,00</w:t>
            </w:r>
          </w:p>
        </w:tc>
      </w:tr>
      <w:tr w:rsidR="00903489" w:rsidRPr="00903489" w14:paraId="6E78B58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BEF28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6A77A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7C7F3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18.261,99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28E9A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99480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6CCE2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2E261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25.250,00</w:t>
            </w:r>
          </w:p>
        </w:tc>
      </w:tr>
      <w:tr w:rsidR="00903489" w:rsidRPr="00903489" w14:paraId="2DB1512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D895B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F57F8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2B22C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18.261,99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E2355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2506A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7BEE8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7BB3E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25.250,00</w:t>
            </w:r>
          </w:p>
        </w:tc>
      </w:tr>
      <w:tr w:rsidR="00903489" w:rsidRPr="00903489" w14:paraId="7658EB7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8218E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0265C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0779E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18.261,99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DC815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5B9C9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92EB3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55F30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25.250,00</w:t>
            </w:r>
          </w:p>
        </w:tc>
      </w:tr>
      <w:tr w:rsidR="00903489" w:rsidRPr="00903489" w14:paraId="799CE17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4D4C1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6C892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D7BBD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4D48C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ED938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421D8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25.125,00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72A7D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521FACC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82FC8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1EC6F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C30E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FFD8C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2C170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7BF4A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25.125,00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65A2B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1A761BB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3442E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F6A3D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8D48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FE6C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9B173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D5621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25.125,00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208AB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A2C419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01327A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Aktivnost: A100508</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E4430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ZAŠTITA OKOLIŠA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4EB25F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151.940,10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C1CAC8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310.400,00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13A6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239.400,00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E8BA6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240.597,00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43B2B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241.794,00</w:t>
            </w:r>
          </w:p>
        </w:tc>
      </w:tr>
      <w:tr w:rsidR="00903489" w:rsidRPr="00903489" w14:paraId="70F7546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DE1F2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5D92A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CEE93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142.599,02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D54B0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299.700,00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AB3A6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228.700,00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EC87E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22.338,86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26F7A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16.160,00</w:t>
            </w:r>
          </w:p>
        </w:tc>
      </w:tr>
      <w:tr w:rsidR="00903489" w:rsidRPr="00903489" w14:paraId="5DE0233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6DB6A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0415C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C4649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118.874,22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539A8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5CAE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995CB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22.338,86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8747F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16.160,00</w:t>
            </w:r>
          </w:p>
        </w:tc>
      </w:tr>
      <w:tr w:rsidR="00903489" w:rsidRPr="00903489" w14:paraId="31D02AC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B320E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026C2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FAED9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118.874,22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7A0E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229.700,00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9C709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173.700,00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985BC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22.338,86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058BC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16.160,00</w:t>
            </w:r>
          </w:p>
        </w:tc>
      </w:tr>
      <w:tr w:rsidR="00903489" w:rsidRPr="00903489" w14:paraId="0D28773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0540A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8EEB6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EA0E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23.724,80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422CD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BFD3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175A1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E743F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076149B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7229D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BBBAB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F65B9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23.724,80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238AC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903B4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3FE39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0B2A4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B9BC24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55071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FD8D2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1D6A9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39.798,12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8FC14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F7B6F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59.500,00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33BFB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105.525,00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4F4F2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152.510,00</w:t>
            </w:r>
          </w:p>
        </w:tc>
      </w:tr>
      <w:tr w:rsidR="00903489" w:rsidRPr="00903489" w14:paraId="208A8CB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78684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45EAE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524C4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39.798,12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462DB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55B0F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59.500,00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2862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105.525,00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91C6F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152.510,00</w:t>
            </w:r>
          </w:p>
        </w:tc>
      </w:tr>
      <w:tr w:rsidR="00903489" w:rsidRPr="00903489" w14:paraId="2D3160A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44BE3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42223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286B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39.798,12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B0280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FD307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59.500,00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38685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70.350,00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06E2A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70.700,00</w:t>
            </w:r>
          </w:p>
        </w:tc>
      </w:tr>
      <w:tr w:rsidR="00903489" w:rsidRPr="00903489" w14:paraId="7A0A213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56C86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53056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037F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4CF84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DDC87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5F21D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35.175,00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A214F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81.810,00</w:t>
            </w:r>
          </w:p>
        </w:tc>
      </w:tr>
      <w:tr w:rsidR="00903489" w:rsidRPr="00903489" w14:paraId="1F3039F0"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1AA0A2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K100505</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53A6A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KAPITALNA ULAGANJA U ZGRADE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B2C0DB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797.188,33</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417B55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1.225.000,00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C93E45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1.570.000,00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0AB46A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1.174.100,00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5C344B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1.149.477,00</w:t>
            </w:r>
          </w:p>
        </w:tc>
      </w:tr>
      <w:tr w:rsidR="00903489" w:rsidRPr="00903489" w14:paraId="4A7698A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2B5FA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01CE6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592B5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739.984,06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E0E9E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1.103.000,00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7ACE7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319.642,29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505D6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1B96D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101.000,00</w:t>
            </w:r>
          </w:p>
        </w:tc>
      </w:tr>
      <w:tr w:rsidR="00903489" w:rsidRPr="00903489" w14:paraId="00FD005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CA79A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AA171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43DCB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739.984,06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7818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1.103.000,00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4AF86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319.642,29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29759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9115C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3027DD4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02879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183CA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DB38E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23B26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806FF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3257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D08FC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2A309B9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615B9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03856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226AB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739.984,06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647F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1.083.000,00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8A208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299.642,29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0E630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FB211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101.000,00</w:t>
            </w:r>
          </w:p>
        </w:tc>
      </w:tr>
      <w:tr w:rsidR="00903489" w:rsidRPr="00903489" w14:paraId="12FAC3B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CDA07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928A7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D6D3C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26.261,59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86EC8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2DE23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1.150.357,71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4C67F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973.100,00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3E597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947.477,00</w:t>
            </w:r>
          </w:p>
        </w:tc>
      </w:tr>
      <w:tr w:rsidR="00903489" w:rsidRPr="00903489" w14:paraId="0BCF96F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32C74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14B8E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0741C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26.261,59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73358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D850F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1.150.357,71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A7931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973.100,00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C28E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947.477,00</w:t>
            </w:r>
          </w:p>
        </w:tc>
      </w:tr>
      <w:tr w:rsidR="00903489" w:rsidRPr="00903489" w14:paraId="58030F8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DFFF5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54670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00717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0EF0C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37BB6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CAE8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60BB6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20.200,00</w:t>
            </w:r>
          </w:p>
        </w:tc>
      </w:tr>
      <w:tr w:rsidR="00903489" w:rsidRPr="00903489" w14:paraId="1E6E86D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777A1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93D29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01FB7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26.261,59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17CDB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3B604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1.150.357,71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EAA27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953.000,00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66D10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927.277,00</w:t>
            </w:r>
          </w:p>
        </w:tc>
      </w:tr>
      <w:tr w:rsidR="00903489" w:rsidRPr="00903489" w14:paraId="71E9ACB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37928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61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FD86F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Namjenske 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2F422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27.819,68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09307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948FA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57FED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D7692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33F795C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95025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878D4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430C0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27.819,68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30FD2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6C72C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7BD2D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549C2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0E9F4D2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38E42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96951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E2B87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27.819,68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CCC6D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F5E73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B5495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CC10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55D485F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5F174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71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0BBC6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489B0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3.123,00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7152C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81B5A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235A5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4E2B0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101.000,00</w:t>
            </w:r>
          </w:p>
        </w:tc>
      </w:tr>
      <w:tr w:rsidR="00903489" w:rsidRPr="00903489" w14:paraId="6878E2B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23AB2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698B8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1B634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3.123,00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BCB0C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D774D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A9A00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6C795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5918B4E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9F538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5497A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4B605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3.123,00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BC2AF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CA4B6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BCB02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BE7EF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101.000,00</w:t>
            </w:r>
          </w:p>
        </w:tc>
      </w:tr>
      <w:tr w:rsidR="00903489" w:rsidRPr="00903489" w14:paraId="0928D12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E1A59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K100512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9B56B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IZRADA PLANOVA I PROJEKATA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5BA7A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25.450,00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33B18A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2D322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E9F58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140.700,00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7E3E4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141.400,00</w:t>
            </w:r>
          </w:p>
        </w:tc>
      </w:tr>
      <w:tr w:rsidR="00903489" w:rsidRPr="00903489" w14:paraId="5FF9FCC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ECECC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449B2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0139F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25.450,00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19191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102.250,00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E52E5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2FEAB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30.150,00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4D4FC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30.300,00</w:t>
            </w:r>
          </w:p>
        </w:tc>
      </w:tr>
      <w:tr w:rsidR="00903489" w:rsidRPr="00903489" w14:paraId="5D40061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6236F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E3FDD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8F20D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25.450,00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EAAC5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102.250,00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E3861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9AED9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99117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30.300,00</w:t>
            </w:r>
          </w:p>
        </w:tc>
      </w:tr>
      <w:tr w:rsidR="00903489" w:rsidRPr="00903489" w14:paraId="38BC846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3707A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2DADA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6C59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25.450,00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BFED2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102.250,00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F95B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49E89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6BA59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30.300,00</w:t>
            </w:r>
          </w:p>
        </w:tc>
      </w:tr>
      <w:tr w:rsidR="00903489" w:rsidRPr="00903489" w14:paraId="49BD93D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30F2A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DA058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13C8F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1278F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B65FA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80CA6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E0F25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w:t>
            </w:r>
          </w:p>
        </w:tc>
      </w:tr>
      <w:tr w:rsidR="00903489" w:rsidRPr="00903489" w14:paraId="7F54DEA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DCE38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11EF7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1C62E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0AF40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3FE47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2D819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D1C3E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w:t>
            </w:r>
          </w:p>
        </w:tc>
      </w:tr>
      <w:tr w:rsidR="00903489" w:rsidRPr="00903489" w14:paraId="12E3A23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EEFBB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3AB0B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99EFE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94B31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A7CBE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46467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0B26F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w:t>
            </w:r>
          </w:p>
        </w:tc>
      </w:tr>
      <w:tr w:rsidR="00903489" w:rsidRPr="00903489" w14:paraId="3105455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D3A7F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DFBC9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5200F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FBA1A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74634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1045D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54672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101.000,00</w:t>
            </w:r>
          </w:p>
        </w:tc>
      </w:tr>
      <w:tr w:rsidR="00903489" w:rsidRPr="00903489" w14:paraId="5DFB94B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42DB9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EF5C1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ADB51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08935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0A1B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C220C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708DC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30C18FF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85C5C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01B9E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451BB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445A8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51B5E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BB1B2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0CA92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101.000,00</w:t>
            </w:r>
          </w:p>
        </w:tc>
      </w:tr>
      <w:tr w:rsidR="00903489" w:rsidRPr="00903489" w14:paraId="54A373CF"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CBDA28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K100513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210985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INDUSTRIJSKA ZONA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1B11B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26B369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1A9BD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D8941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27.135,00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0B6172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27.270,00</w:t>
            </w:r>
          </w:p>
        </w:tc>
      </w:tr>
      <w:tr w:rsidR="00903489" w:rsidRPr="00903489" w14:paraId="1121354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9EA5F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51BF6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29E2D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EFF99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470B7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90C15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569F1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086826C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06BAE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3D8B1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0D89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715F7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68BA5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C262F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5B8E2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E48224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A4B99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70EE7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79E4F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18A0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28441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C83C1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B6C24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39E2C1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5769F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87FC7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ED711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1875F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72732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B9552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27.135,00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04578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27.270,00</w:t>
            </w:r>
          </w:p>
        </w:tc>
      </w:tr>
      <w:tr w:rsidR="00903489" w:rsidRPr="00903489" w14:paraId="24E22B8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0E064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12E9B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9D06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046C0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B159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B33CD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27.135,00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32DA0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27.270,00</w:t>
            </w:r>
          </w:p>
        </w:tc>
      </w:tr>
      <w:tr w:rsidR="00903489" w:rsidRPr="00903489" w14:paraId="4C5D7AB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ACF21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CF8B6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24F4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C7576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703C6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CAAB5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27.135,00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1BF39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27.270,00</w:t>
            </w:r>
          </w:p>
        </w:tc>
      </w:tr>
      <w:tr w:rsidR="00903489" w:rsidRPr="00903489" w14:paraId="02EB7A1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38BC0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K100514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0924FA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IZGRADNJA I REKONSTRUKCIJA JAVNE RASVJETE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0798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62.251,65</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67A311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B946C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DDD01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83A20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7CF3AFF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B7FA9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14F66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3CC65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28.037,86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9124E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40DDE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8E8F3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17DFD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13CFABE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B2AE0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CA78B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86C7B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28.037,86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A8CE9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0B2A4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6216C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10851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4317046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02E59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2E5A1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434A2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28.037,86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8152B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4E794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8EF02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A103A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6E59CF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1197B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F7658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FF08D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34.213,79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040D3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7C6F7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CC282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2E364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50.500,00</w:t>
            </w:r>
          </w:p>
        </w:tc>
      </w:tr>
      <w:tr w:rsidR="00903489" w:rsidRPr="00903489" w14:paraId="0F192C5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C3484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B9C85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4813B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34.213,79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2A1AD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549A8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B7E5A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F250F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4CADE52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C79F6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3B5EC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AEE34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34.213,79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51505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82F84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7BDF9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3D59E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50.500,00</w:t>
            </w:r>
          </w:p>
        </w:tc>
      </w:tr>
      <w:tr w:rsidR="00903489" w:rsidRPr="00903489" w14:paraId="781A76B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3CEFE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K100515</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ACC0D8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IZGRADNJA NOGOSTUPA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1304FC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572888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5EC4BB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522109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120.600,00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E41C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121.200,00</w:t>
            </w:r>
          </w:p>
        </w:tc>
      </w:tr>
      <w:tr w:rsidR="00903489" w:rsidRPr="00903489" w14:paraId="7F9D8EE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4A22E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2AB81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E5039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AC7FC1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118.827,38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1EF3C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59.450,00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7A983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2F6E0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2616BA3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81591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43A15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918C9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CADAE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118.827,38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3D11F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59.450,00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E7B56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272D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872CC9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F2CEC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F2CF3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03D8D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A310A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118.827,38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C3320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59.450,00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643D4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9049F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4876DE5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1FB5B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8B06D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93673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EC5AE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8.361,54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688EF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8.350,00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423A6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8.391,75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C8627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8.433,50</w:t>
            </w:r>
          </w:p>
        </w:tc>
      </w:tr>
      <w:tr w:rsidR="00903489" w:rsidRPr="00903489" w14:paraId="6ECFF50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3C079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FC2C3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38CCD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180B6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8.361,54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7B7BC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8.350,00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47CAE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8.391,75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3F91F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8.433,50</w:t>
            </w:r>
          </w:p>
        </w:tc>
      </w:tr>
      <w:tr w:rsidR="00903489" w:rsidRPr="00903489" w14:paraId="6C32F2D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F87CF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DDEA3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6F107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D70F2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8.361,54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6C28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57AE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8.391,75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DBF42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8.433,50</w:t>
            </w:r>
          </w:p>
        </w:tc>
      </w:tr>
      <w:tr w:rsidR="00903489" w:rsidRPr="00903489" w14:paraId="09F4559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9AADB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074BA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Komunalna djelatnost</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EF11F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916D6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22.811,08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1ECA2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52.200,00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3D394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52.461,00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CBBBE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52.722,00</w:t>
            </w:r>
          </w:p>
        </w:tc>
      </w:tr>
      <w:tr w:rsidR="00903489" w:rsidRPr="00903489" w14:paraId="53CB84B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84AFC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57BC3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DD0EF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93999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22.811,08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77B5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52.200,00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68CDD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52.461,00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ACC9E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52.722,00</w:t>
            </w:r>
          </w:p>
        </w:tc>
      </w:tr>
      <w:tr w:rsidR="00903489" w:rsidRPr="00903489" w14:paraId="241FF49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AFC88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ACF80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B2F5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8A100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22.811,08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96AC2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56F71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52.461,00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51D33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52.722,00</w:t>
            </w:r>
          </w:p>
        </w:tc>
      </w:tr>
      <w:tr w:rsidR="00903489" w:rsidRPr="00903489" w14:paraId="48A61C1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F70D0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BB02D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69729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5DB4F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EF444D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02CA0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59.747,25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0D05D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60.044,50</w:t>
            </w:r>
          </w:p>
        </w:tc>
      </w:tr>
      <w:tr w:rsidR="00903489" w:rsidRPr="00903489" w14:paraId="00C005C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916CE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0C187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133D5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24D73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625EE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DFCE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59.747,25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EF19D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60.044,50</w:t>
            </w:r>
          </w:p>
        </w:tc>
      </w:tr>
      <w:tr w:rsidR="00903489" w:rsidRPr="00903489" w14:paraId="5A2CAA8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AAA2F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3AF1B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57D4D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8C3FE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7B483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8E6FF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59.747,25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6B79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60.044,50</w:t>
            </w:r>
          </w:p>
        </w:tc>
      </w:tr>
      <w:tr w:rsidR="00903489" w:rsidRPr="00903489" w14:paraId="7D45C70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E96DD0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K100518</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CAA232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IZGRADNJA I REKONSTRUKCIJA PROM.OBJEKATA I OPREME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14095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167.985,97</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B7AE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1.620.000,00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B6875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372B47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630.400,00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8181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430.800,00</w:t>
            </w:r>
          </w:p>
        </w:tc>
      </w:tr>
      <w:tr w:rsidR="00903489" w:rsidRPr="00903489" w14:paraId="10BC563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F076E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0DB05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31E2C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144.152,52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D5AD7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753.700,00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6D22B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53.700,00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D9E14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53.968,50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A46B7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0D81459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43E0E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18F4B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70B35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144.152,52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9C3C6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C5758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39EA6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53.968,50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E118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847DD5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5798E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90E69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EA726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144.152,52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3329C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753.700,00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D609F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53.700,00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49006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53.968,50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A147A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59AB673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041BF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B2A5A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8900E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23.833,45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F4A1F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F5767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CF6E6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CA585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304.237,00</w:t>
            </w:r>
          </w:p>
        </w:tc>
      </w:tr>
      <w:tr w:rsidR="00903489" w:rsidRPr="00903489" w14:paraId="58B68E0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A41EA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3976F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95AA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23.833,45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B47F8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8D598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B050B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15003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304.237,00</w:t>
            </w:r>
          </w:p>
        </w:tc>
      </w:tr>
      <w:tr w:rsidR="00903489" w:rsidRPr="00903489" w14:paraId="0A5B197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7498F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1CE21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1A8C9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23.833,45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8F1B9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237C2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5EB26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EE987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304.237,00</w:t>
            </w:r>
          </w:p>
        </w:tc>
      </w:tr>
      <w:tr w:rsidR="00903489" w:rsidRPr="00903489" w14:paraId="5C51218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ECD21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44400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59228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8FB5D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40F16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79912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C32AE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w:t>
            </w:r>
          </w:p>
        </w:tc>
      </w:tr>
      <w:tr w:rsidR="00903489" w:rsidRPr="00903489" w14:paraId="61AF3EA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7F1FF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F91E5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0ED05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5C864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9853B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D0A95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FD2CD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r>
      <w:tr w:rsidR="00903489" w:rsidRPr="00903489" w14:paraId="71D715C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04609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FB6B3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4CB9F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8790F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D182B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8F78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1A024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r>
      <w:tr w:rsidR="00903489" w:rsidRPr="00903489" w14:paraId="610CB80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6BF41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71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7F42F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od prodaje nefin. imovine u vlasništvu JLS</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38AAD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FEBAE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55A7C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12786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26.431,50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A1CB9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26.563,00</w:t>
            </w:r>
          </w:p>
        </w:tc>
      </w:tr>
      <w:tr w:rsidR="00903489" w:rsidRPr="00903489" w14:paraId="581CAC8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FC994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91A74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CBA1F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106F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84BB0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08CF0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26.431,50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FBB35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26.563,00</w:t>
            </w:r>
          </w:p>
        </w:tc>
      </w:tr>
      <w:tr w:rsidR="00903489" w:rsidRPr="00903489" w14:paraId="13E77F1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12E59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FEE76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00964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1709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98378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8040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26.431,50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DE3D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26.563,00</w:t>
            </w:r>
          </w:p>
        </w:tc>
      </w:tr>
      <w:tr w:rsidR="00903489" w:rsidRPr="00903489" w14:paraId="0F57128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303CFA1"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1006</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4411C65"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FINANCIJSKI RASHODI</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0EB1E6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44.449,83</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6FAAC8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73.300,00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9B9F06B"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896.000,00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D48FAE2"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96.480,00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CD8AE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96.960,00</w:t>
            </w:r>
          </w:p>
        </w:tc>
      </w:tr>
      <w:tr w:rsidR="00903489" w:rsidRPr="00903489" w14:paraId="00A62989"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6F28A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A100601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57847F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OTPLATA KAMATA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26CD33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19,57</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F10AE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8.300,00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13C12C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A9A5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26.130,00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32885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26.260,00</w:t>
            </w:r>
          </w:p>
        </w:tc>
      </w:tr>
      <w:tr w:rsidR="00903489" w:rsidRPr="00903489" w14:paraId="743F177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9426D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A2D72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25D33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19,57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24CBD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AC098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F62DB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26.130,00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45F11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26.260,00</w:t>
            </w:r>
          </w:p>
        </w:tc>
      </w:tr>
      <w:tr w:rsidR="00903489" w:rsidRPr="00903489" w14:paraId="5539479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73D98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6C7A1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9495B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19,57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40E49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8EAE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BECF7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26.130,00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29233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26.260,00</w:t>
            </w:r>
          </w:p>
        </w:tc>
      </w:tr>
      <w:tr w:rsidR="00903489" w:rsidRPr="00903489" w14:paraId="368B58D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7CCF7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30C18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7C5C8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19,57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F7CC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7EF2A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30B39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26.130,00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673C9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26.260,00</w:t>
            </w:r>
          </w:p>
        </w:tc>
      </w:tr>
      <w:tr w:rsidR="00903489" w:rsidRPr="00903489" w14:paraId="75120BFC"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DD46E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A100602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5F5778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USLUGE PLATNOG PROMETA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4F7B36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7.347,91</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DA9B7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2DF6E2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090684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13.567,50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EFDAE3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13.635,00</w:t>
            </w:r>
          </w:p>
        </w:tc>
      </w:tr>
      <w:tr w:rsidR="00903489" w:rsidRPr="00903489" w14:paraId="39DAAEF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62BAB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A27F4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F8F35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7.347,91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9B83C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1C48B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1E1D8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13.567,50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605CF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13.635,00</w:t>
            </w:r>
          </w:p>
        </w:tc>
      </w:tr>
      <w:tr w:rsidR="00903489" w:rsidRPr="00903489" w14:paraId="4429605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78228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D0C61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4B69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7.347,91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0D8A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8D1D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A558D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13.567,50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4EC00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13.635,00</w:t>
            </w:r>
          </w:p>
        </w:tc>
      </w:tr>
      <w:tr w:rsidR="00903489" w:rsidRPr="00903489" w14:paraId="205339D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61283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4FCA0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071D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7.347,91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140FB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AB108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A513D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13.567,50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F6BA3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13.635,00</w:t>
            </w:r>
          </w:p>
        </w:tc>
      </w:tr>
      <w:tr w:rsidR="00903489" w:rsidRPr="00903489" w14:paraId="34788D37"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DE767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A100603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873CE7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OTPLATA ZAJMOVA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DC52C5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041B4A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BB6DD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871936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31403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13AF22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CE42A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E0126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2EDE6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17A96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C9C76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F39A1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6BAF8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42AAA19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6920B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18858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Izdaci za financijsku imovinu i otplate zajmova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C6D0A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3E626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16F1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20B51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D0932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50CB109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0667A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lastRenderedPageBreak/>
              <w:t>54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C2B82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Izdaci za otplatu glavnice primljenih kredita i zajmova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E6A4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E0310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C5064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8F730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3C566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D4EA52C"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9478D8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A100604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0C46E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REDOVNA DJELATNOST</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082E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37.082,35</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F4B11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51.500,00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3AA94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A7DE90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56.782,50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B61ADA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57.065,00</w:t>
            </w:r>
          </w:p>
        </w:tc>
      </w:tr>
      <w:tr w:rsidR="00903489" w:rsidRPr="00903489" w14:paraId="039798C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235ED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FAB12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6BFF5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37.082,35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2F66F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8E4B6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56.500,00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EF8C4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56.782,50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E656A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57.065,00</w:t>
            </w:r>
          </w:p>
        </w:tc>
      </w:tr>
      <w:tr w:rsidR="00903489" w:rsidRPr="00903489" w14:paraId="5B407A1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CD5FD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E2888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9BAF0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37.082,35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977F0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F132A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319F0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56.782,50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AE2EA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57.065,00</w:t>
            </w:r>
          </w:p>
        </w:tc>
      </w:tr>
      <w:tr w:rsidR="00903489" w:rsidRPr="00903489" w14:paraId="5050E6C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995BE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67EE6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30FF4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37.082,35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BEA3F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A5B5D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3CE06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55.275,00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79A2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55.550,00</w:t>
            </w:r>
          </w:p>
        </w:tc>
      </w:tr>
      <w:tr w:rsidR="00903489" w:rsidRPr="00903489" w14:paraId="3FA6153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B349F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29A6D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F1F6E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998DE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E5A12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64EF0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3385E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1.515,00</w:t>
            </w:r>
          </w:p>
        </w:tc>
      </w:tr>
      <w:tr w:rsidR="00903489" w:rsidRPr="00903489" w14:paraId="77E3FD49"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188AE54"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1007</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94B411"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KOMUNALNA PODUZEĆA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ACCCB1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181.309,29</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D970B5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1.000.000,00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699E87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410.000,00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978B09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472.350,00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61B7F0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474.700,00</w:t>
            </w:r>
          </w:p>
        </w:tc>
      </w:tr>
      <w:tr w:rsidR="00903489" w:rsidRPr="00903489" w14:paraId="29CF49E2"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78D50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K100701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90480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ZAŠTITA OKOLIŠA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82805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118.766,43</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25552E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E5A49B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CA337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120.600,00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024409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121.200,00</w:t>
            </w:r>
          </w:p>
        </w:tc>
      </w:tr>
      <w:tr w:rsidR="00903489" w:rsidRPr="00903489" w14:paraId="6205EF2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52393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6901B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72A49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19.640,75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200A2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168.095,00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32F60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14564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90.450,00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3E105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90.900,00</w:t>
            </w:r>
          </w:p>
        </w:tc>
      </w:tr>
      <w:tr w:rsidR="00903489" w:rsidRPr="00903489" w14:paraId="7383135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B4E70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0F463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067E6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15.822,00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2D2DE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47F9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48D36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90.450,00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E1BFA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90.900,00</w:t>
            </w:r>
          </w:p>
        </w:tc>
      </w:tr>
      <w:tr w:rsidR="00903489" w:rsidRPr="00903489" w14:paraId="30C0FC5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8A7D2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EFF4A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892F9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15.822,00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F473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FCEAD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C96C6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90.450,00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509DC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90.900,00</w:t>
            </w:r>
          </w:p>
        </w:tc>
      </w:tr>
      <w:tr w:rsidR="00903489" w:rsidRPr="00903489" w14:paraId="29FCDC2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9E2A0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BEB81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A82B2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3.818,75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8B91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78.095,00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61F59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169EA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D16A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DAB54B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977FE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131E7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8532C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3.818,75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FA74F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78.095,00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6695D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8FAFC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57282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0C0828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DE3C2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B5D92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5900E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84F6F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04038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09288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9.045,00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651AC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9.090,00</w:t>
            </w:r>
          </w:p>
        </w:tc>
      </w:tr>
      <w:tr w:rsidR="00903489" w:rsidRPr="00903489" w14:paraId="2708FDB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5B7CA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C930A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5CAD1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6A3D0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B4FD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7998C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E62AE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9.090,00</w:t>
            </w:r>
          </w:p>
        </w:tc>
      </w:tr>
      <w:tr w:rsidR="00903489" w:rsidRPr="00903489" w14:paraId="2F5E802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FA43D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09CB0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BE944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4C0FC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0588C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5C10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F4EE1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9.090,00</w:t>
            </w:r>
          </w:p>
        </w:tc>
      </w:tr>
      <w:tr w:rsidR="00903489" w:rsidRPr="00903489" w14:paraId="662C420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685BC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95867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5413F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99.125,68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8DCB6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171.905,00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C234B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36D570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21.105,00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B1704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21.210,00</w:t>
            </w:r>
          </w:p>
        </w:tc>
      </w:tr>
      <w:tr w:rsidR="00903489" w:rsidRPr="00903489" w14:paraId="1560F2F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EF082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1782D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02B24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99.125,68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7DBDD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171.905,00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E87A2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A2377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21.105,00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36337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21.210,00</w:t>
            </w:r>
          </w:p>
        </w:tc>
      </w:tr>
      <w:tr w:rsidR="00903489" w:rsidRPr="00903489" w14:paraId="777A5E8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54961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0EACF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0EA44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99.125,68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C0E6C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171.905,00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620F7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F965C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21.105,00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C1AF9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21.210,00</w:t>
            </w:r>
          </w:p>
        </w:tc>
      </w:tr>
      <w:tr w:rsidR="00903489" w:rsidRPr="00903489" w14:paraId="08DEE16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C89CBC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K100704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D5C07B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RAZVOJ I UPRAV.SUSTAVA VODOOPSKRBE, ODVODNJE I ZAŠTITE VODA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A17AB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62.542,86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3EE440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B5AB0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6FBCA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351.750,00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A555F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353.500,00</w:t>
            </w:r>
          </w:p>
        </w:tc>
      </w:tr>
      <w:tr w:rsidR="00903489" w:rsidRPr="00903489" w14:paraId="4B14F30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79367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2BEA4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C72DE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62.542,86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38289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660.000,00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7B165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157C8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351.750,00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57D86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353.500,00</w:t>
            </w:r>
          </w:p>
        </w:tc>
      </w:tr>
      <w:tr w:rsidR="00903489" w:rsidRPr="00903489" w14:paraId="117AEE3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BD368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E2B09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9D63F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62.542,86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104BF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3F827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7D2ED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351.750,00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7A50D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353.500,00</w:t>
            </w:r>
          </w:p>
        </w:tc>
      </w:tr>
      <w:tr w:rsidR="00903489" w:rsidRPr="00903489" w14:paraId="6A87A9E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1185B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4410E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4A44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12.489,36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353A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1DB94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5A3E8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1D711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50.500,00</w:t>
            </w:r>
          </w:p>
        </w:tc>
      </w:tr>
      <w:tr w:rsidR="00903489" w:rsidRPr="00903489" w14:paraId="0173F99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8F33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B100D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7B3F7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50.053,50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3E3A2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560.000,00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4AC5E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97554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AEA81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303.000,00</w:t>
            </w:r>
          </w:p>
        </w:tc>
      </w:tr>
      <w:tr w:rsidR="00903489" w:rsidRPr="00903489" w14:paraId="07D2EA96"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939ED69"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1008</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E55C122"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POTICANJE RAZVOJA GOSPODARSTVA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ADF016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114.296,59</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845B44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138.955,40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5218B7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139.500,00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2F02A3F"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140.197,50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291A0C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140.895,00</w:t>
            </w:r>
          </w:p>
        </w:tc>
      </w:tr>
      <w:tr w:rsidR="00903489" w:rsidRPr="00903489" w14:paraId="4CEF2B50"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7E379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A100801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28419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SUBVENCIONIRANJE OBRTNIKA I PODUZETNIKA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687F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74.296,59</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CEDE02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88.955,40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BC0FF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BCE5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89.947,50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AC89B0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90.395,00</w:t>
            </w:r>
          </w:p>
        </w:tc>
      </w:tr>
      <w:tr w:rsidR="00903489" w:rsidRPr="00903489" w14:paraId="7AA17AF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E5D6D8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lastRenderedPageBreak/>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13EFF1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CC567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74.296,59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1EEA6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88.955,40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1347F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89.500,00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BC7A5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89.947,50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AE2A8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90.395,00</w:t>
            </w:r>
          </w:p>
        </w:tc>
      </w:tr>
      <w:tr w:rsidR="00903489" w:rsidRPr="00903489" w14:paraId="42DEA8E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F7495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C5994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96DAC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74.296,59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5369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88.955,40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F959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F8AA1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89.947,50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A1AF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90.395,00</w:t>
            </w:r>
          </w:p>
        </w:tc>
      </w:tr>
      <w:tr w:rsidR="00903489" w:rsidRPr="00903489" w14:paraId="4D0B029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03040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BD82E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53274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68.032,04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17202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81.955,40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38F24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B24DA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82.912,50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5ACA2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83.325,00</w:t>
            </w:r>
          </w:p>
        </w:tc>
      </w:tr>
      <w:tr w:rsidR="00903489" w:rsidRPr="00903489" w14:paraId="185F25F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6EC6A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C6C05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CCB53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6.264,55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5219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9E18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30883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E72A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7.070,00</w:t>
            </w:r>
          </w:p>
        </w:tc>
      </w:tr>
      <w:tr w:rsidR="00903489" w:rsidRPr="00903489" w14:paraId="041910B9"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40735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A100802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496693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PODUZETNIČKI CENTAR</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94F1FD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B84A80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B2E44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F91D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7E12A1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026E8DF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0A3448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89A9A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3ED3C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50085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5B985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EF183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800C8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50.500,00</w:t>
            </w:r>
          </w:p>
        </w:tc>
      </w:tr>
      <w:tr w:rsidR="00903489" w:rsidRPr="00903489" w14:paraId="58181B7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49D3B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4AEA4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0B2A8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6BF48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90DDA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94E84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9FA8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68268CA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E1A94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27B97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04198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54022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E4195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AC0F4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D2918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50.500,00</w:t>
            </w:r>
          </w:p>
        </w:tc>
      </w:tr>
      <w:tr w:rsidR="00903489" w:rsidRPr="00903489" w14:paraId="14EA4C5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9EE2ED2"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1018</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186ED74"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RURALNOG RAZVOJA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05059B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58E0AB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53DA40F"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8CBB94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20.100,00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A8FACF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20.200,00</w:t>
            </w:r>
          </w:p>
        </w:tc>
      </w:tr>
      <w:tr w:rsidR="00903489" w:rsidRPr="00903489" w14:paraId="157B3139"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B7FF86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K101801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68795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OSTALI  POSLOVNI OBJEKTI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E0462E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953702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102EE4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7BC64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20.100,00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F734DC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20.200,00</w:t>
            </w:r>
          </w:p>
        </w:tc>
      </w:tr>
      <w:tr w:rsidR="00903489" w:rsidRPr="00903489" w14:paraId="18375CC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21C031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AF69B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775B9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0155B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415D1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9D038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9C8F6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6008E8A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F02F9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5F7FA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B075B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A1D8A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018E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CB876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613F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823EBB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D3687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5AECA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368E1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F557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3BF87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B6E7D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E9B07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512549E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16E2E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0BE22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Fondovi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EFE66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2660CE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08CDF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D20F0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20.100,00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96CC3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20.200,00</w:t>
            </w:r>
          </w:p>
        </w:tc>
      </w:tr>
      <w:tr w:rsidR="00903489" w:rsidRPr="00903489" w14:paraId="5F3859E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91CAD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1E4C8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69BA8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25490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6E3FD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93255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0B7FF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20.200,00</w:t>
            </w:r>
          </w:p>
        </w:tc>
      </w:tr>
      <w:tr w:rsidR="00903489" w:rsidRPr="00903489" w14:paraId="2314F1E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DED25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37DCA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198B7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097F3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63743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6F5EF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9C026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20.200,00</w:t>
            </w:r>
          </w:p>
        </w:tc>
      </w:tr>
      <w:tr w:rsidR="00903489" w:rsidRPr="00903489" w14:paraId="7B6FECC8"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58FEAA6"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1019</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D29DF10"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PROJEKTI FINANCIRANI IZ EU</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A5F2CE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810.737,19</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04B37D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3.511.750,00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0AA38B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1.985.991,50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D4E2622"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545.455,00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A19D0E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293.910,00</w:t>
            </w:r>
          </w:p>
        </w:tc>
      </w:tr>
      <w:tr w:rsidR="00903489" w:rsidRPr="00903489" w14:paraId="07455D44"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DB9DB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A101903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3DF5B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ZAŽELI    - program zapošljavanja žena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F07E92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276.633,53</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D87A9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541.500,00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71E5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568.491,50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47BB51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203.000,00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DFA83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5AEF09B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17A2E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D1C11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E9D0F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276.633,53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02A1B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541.500,00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02F1B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FF426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A37C9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397D173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54840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5AC70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915AD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276.633,53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57A08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541.500,00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B66F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EDCE2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0A341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EDDC89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F18AE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6AA78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AA615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6.919,32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659C1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9.915,00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2171B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3AFF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52DC6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4B2F9D1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65F23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0B322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90D9A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269.714,21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FA34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531.585,00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C1EC5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94962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513A1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3E2D85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AA4F6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B5DAC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Fondovi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9781A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54B5D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D09CF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568.491,50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23BCB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0B059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3A52323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922A9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78CA7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FCB2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5A3A8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83A06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568.491,50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ACC5E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31749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452C4D7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5C9F9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39EF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D5BF8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222D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3B912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8.491,50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3CAF2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19570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E8DD23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A4580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D296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DE09C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29FB7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A1252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560.000,00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1C0F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8ABD5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5C8E8C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1C7A49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Aktivnost: A101918</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02D9E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CENTAR EUROPE DIRECT Donji Miholjac</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F6E359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20B481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5DA51F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87F50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41.205,00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1D00E7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41.410,00</w:t>
            </w:r>
          </w:p>
        </w:tc>
      </w:tr>
      <w:tr w:rsidR="00903489" w:rsidRPr="00903489" w14:paraId="37FE2FF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967DB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62DA6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62AA3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27F9C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A661A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FCD7A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4.020,00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EACE6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4.040,00</w:t>
            </w:r>
          </w:p>
        </w:tc>
      </w:tr>
      <w:tr w:rsidR="00903489" w:rsidRPr="00903489" w14:paraId="7EBCDD3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8421E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573B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04C9F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C4A8B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89B0A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49C7C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8245C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4.040,00</w:t>
            </w:r>
          </w:p>
        </w:tc>
      </w:tr>
      <w:tr w:rsidR="00903489" w:rsidRPr="00903489" w14:paraId="62E012D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8001C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0943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3F8C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FB8D4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67FCC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58BD7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69CC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4.040,00</w:t>
            </w:r>
          </w:p>
        </w:tc>
      </w:tr>
      <w:tr w:rsidR="00903489" w:rsidRPr="00903489" w14:paraId="6AF1A5A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4004C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51</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03CFA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Programi unije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4254E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C0A2F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39F27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18AE2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37.185,00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DDFAF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37.370,00</w:t>
            </w:r>
          </w:p>
        </w:tc>
      </w:tr>
      <w:tr w:rsidR="00903489" w:rsidRPr="00903489" w14:paraId="0A302EE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6DD6D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D876E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55A87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2C104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795F1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41D36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37.185,00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577BA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37.370,00</w:t>
            </w:r>
          </w:p>
        </w:tc>
      </w:tr>
      <w:tr w:rsidR="00903489" w:rsidRPr="00903489" w14:paraId="2C00E0D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834CF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2CC12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F9CC5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218FD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97B0E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695AB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37.185,00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C8FF8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37.370,00</w:t>
            </w:r>
          </w:p>
        </w:tc>
      </w:tr>
      <w:tr w:rsidR="00903489" w:rsidRPr="00903489" w14:paraId="4EAF7A5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8BDCA4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K101904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405040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ZGRADE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77F69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5.372,50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3B5F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CCE77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7D8416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E52EF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27409DC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F5AE3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29D79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41752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2.535,00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375DB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11F59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338.635,61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90774B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15D95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2DF42D1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F2933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06ABB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F5E2A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2.535,00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04AE0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9442F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338.635,61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D8E49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C5D11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41D3C4C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727FE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A0C13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222D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3B809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C154C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DD74E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D9FD3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80014D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31D18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40E95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445D4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2.535,00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BB999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FF978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188.635,61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6440C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5D10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41FA32F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2C512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31FED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0B390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2.837,50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97AC1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B1D37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09247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C7B1B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0CFEED9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830ED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DE4E4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6D449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2.837,50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ED566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18AFC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1CDA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FE408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12FDED4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ED6C3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D097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41F1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2.837,50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D1135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E0E54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C980E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6223A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1B8488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844DB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A6B45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61F47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EBE77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1BE4E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2A150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7507C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6D2A4C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C2C70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58</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59E73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Instrumenti EU nove generacije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078E6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EE0CE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7303A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361.364,39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607E9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E5BEB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6ED8EA7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097EB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4F843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8FA8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41945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E3CDA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361.364,39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546A0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74BF3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3984B14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A79B4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FC56D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9C7FD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E095F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E54C0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A20CE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D5860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6BCA16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91199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8F0C2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D0D46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7271A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7DF60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311.364,39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53F11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53C51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0A8011C"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D88C00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K101911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3C0E6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INTERREG  MAĐARSKA-HRVATSKA (HUHR 2024)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5009BD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6789E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6234ED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94971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748F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00A72B5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3F62D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53</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C0B45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Tekuće pomoći od HZMO-a, HZZ-ai HZZO-a-stručno osp</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D44C3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7BF01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B722C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BD5C5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8C7D1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1D5B593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35FEC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7CA45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B86BF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139F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196B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6020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BF70E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42D9BC7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7A39D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0ADDE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EFC21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F661E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16712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007CC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C099D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7173538"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21183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K101912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EAC06F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IZGRADNJA DJEČJEG VRTIĆA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9543E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403.856,16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15996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1.720.000,00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4F674C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DEB529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7CBF8D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FE73E8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614D4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DE95E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28A09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221.746,69</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A5C87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235.694,80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08C15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ED27D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01DBCF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1705F0F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57738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F6CC0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FE93F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221.746,69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7F5FF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235.694,80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92776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FA917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AC4CA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4A8B40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F94FE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7C130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F3153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221.746,69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829E4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235.694,80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FDD5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0640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F734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6FEFB3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0E8AF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F50DB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1B772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182.109,47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B7C97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1.484.305,20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B7FB0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24E7A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D78B1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67EEB3E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F775D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70C0A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9B90B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182.109,47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0AE8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1.484.305,20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7A46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DCD38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AAE3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CB5EA9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7794C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929E0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C584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182.109,47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7EDC2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1.484.305,20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D083B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5991C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3AE6D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8450D64"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F6918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K101913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3ACCA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PRIRODNA BAŠTINA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1C9005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111.687,50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7202C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847E6F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9735FB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A2B400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3E1F0AC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1F608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C846B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4E6CA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10.625,00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BAAC15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C7364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7A840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27135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288AB7D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ECC03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96F4F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4092A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10.625,00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46F23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C7619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F741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9FA5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2490AB7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BB72B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2CDED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6E1B2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10.625,00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1465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842AF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7219D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55C5C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FADF6A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D0F0E8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AC6AF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915CF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101.062,50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DA8C05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66.000,00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E74AB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2AB74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C62CB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30970A5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DBD81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FD63B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E62A6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101.062,50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F5BEF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AB9B6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76064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DAAF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AC1948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746E4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B8000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6AD2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101.062,50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8E182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66.000,00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4229C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48757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CEC0A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4260C68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6B819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575E6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Fondovi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CECDB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B60BC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EF345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B73C3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8E626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101.000,00</w:t>
            </w:r>
          </w:p>
        </w:tc>
      </w:tr>
      <w:tr w:rsidR="00903489" w:rsidRPr="00903489" w14:paraId="2259512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AD181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81E52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41B96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71836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CAACA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4D8EC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6A5C0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61FDE74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8C4D5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7FF79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neproizvedene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49644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9888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C5033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19B15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B55EA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101.000,00</w:t>
            </w:r>
          </w:p>
        </w:tc>
      </w:tr>
      <w:tr w:rsidR="00903489" w:rsidRPr="00903489" w14:paraId="58902AA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49EF6F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K101914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766AC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IZGRADNJA SPORTSKOG CENTRA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6EC365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ED180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BF5A0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EE5D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7B058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1B0194A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C1AA0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A59CF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82E32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51371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BB6B1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07FD0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833E8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3DD9182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AFE66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27490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284C5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052FB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0493B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A2AB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A2711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2C64E45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80951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E4760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91199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8F023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55658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23D81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249B4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C1C710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99456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58</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098D0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Instrumenti EU nove generacije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D73963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55911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AB2D0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EAC54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9DF71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101.000,00</w:t>
            </w:r>
          </w:p>
        </w:tc>
      </w:tr>
      <w:tr w:rsidR="00903489" w:rsidRPr="00903489" w14:paraId="47B5F83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295E0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08306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3558F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A330D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95363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4CD5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A10E8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55B75A0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FFA31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210FD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69541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CBDDE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0CE82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33A02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92B1A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101.000,00</w:t>
            </w:r>
          </w:p>
        </w:tc>
      </w:tr>
      <w:tr w:rsidR="00903489" w:rsidRPr="00903489" w14:paraId="53B98A46"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6063F2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Kap.projekt: K101915</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8B2596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OBNOVA MULTIMEDIJALNOG KULTURNOG CENTRA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1C4C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13.187,50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1AD28D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05D81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A3FC57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B8761A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24B7C2D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FA740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41E6C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93FC0B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D093C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C12F5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425A2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8A38F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13E8304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BB19B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D61FE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92B1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9DC70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E9834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5E20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21C75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22AE04D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9153D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4A011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9EDE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C9C45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7E014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03685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C7AFB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5267BA1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FB628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007D8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DCC11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13.187,50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E884C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42.500,00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3A453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7F470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D563E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4A6BC55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5ADE4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0DD5B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CC561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13.187,50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0FD2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114C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56F46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EAF2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42DAE02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7E57D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FBFC7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12222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13.187,50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B4E45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A9DED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D5A44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0C4C6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B59BF6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D5495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58</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6BC2B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Instrumenti EU nove generacije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1A734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C426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0ADA2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760317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572CA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50.500,00</w:t>
            </w:r>
          </w:p>
        </w:tc>
      </w:tr>
      <w:tr w:rsidR="00903489" w:rsidRPr="00903489" w14:paraId="0324B67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10314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40260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FF7FD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D8DFE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13927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E6B35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7C430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50.500,00</w:t>
            </w:r>
          </w:p>
        </w:tc>
      </w:tr>
      <w:tr w:rsidR="00903489" w:rsidRPr="00903489" w14:paraId="4DBEE4A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78D94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34882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575D3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9ED64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9015F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A7CEA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B04E7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50.500,00</w:t>
            </w:r>
          </w:p>
        </w:tc>
      </w:tr>
      <w:tr w:rsidR="00903489" w:rsidRPr="00903489" w14:paraId="51B4D02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F55AD5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Kap.projekt: K101916</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4E8771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e-PLANOVI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52D90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01E0A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74.250,00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B7362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46.500,00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4A6A9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D22A7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7CE941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A1703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5A828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4DAC9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E2DDF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6A470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3328B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ADBA3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5AC9C3B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153A8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745CF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1E269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BC8DE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9BF52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1817F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5CD0F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358A78F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66F6F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1E0CC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DCB8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A3FB3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EA2BA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996D0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F76FD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4DEBD0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4EE70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02E9B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CBEA7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EEB5C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60.250,00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C0E93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0BFACD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457518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24D85DE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074BF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FA8EC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43999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6926E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054F7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C67E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E5ED9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933548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97023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3BF02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783C7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B5761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60.250,00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7FC1F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4125B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513A3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41C12D2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3EA53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58</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56327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Instrumenti EU nove generacije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D9B05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4F595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2346F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46.500,00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66E60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92472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26CD4C3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EE778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6B622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A09D2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B8A8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1B47A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46.500,00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980E7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6F7AF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0799C60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F0D44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0DB2B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8EE6E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3D41D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140D6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46.500,00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54088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D72B0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4508BF8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14E5C93" w14:textId="77777777" w:rsidR="00903489" w:rsidRPr="00903489" w:rsidRDefault="00903489" w:rsidP="00903489">
            <w:pPr>
              <w:spacing w:after="0" w:line="240" w:lineRule="auto"/>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002</w:t>
            </w:r>
          </w:p>
        </w:tc>
        <w:tc>
          <w:tcPr>
            <w:tcW w:w="586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26423411" w14:textId="77777777" w:rsidR="00903489" w:rsidRPr="00903489" w:rsidRDefault="00903489" w:rsidP="00903489">
            <w:pPr>
              <w:spacing w:after="0" w:line="240" w:lineRule="auto"/>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PREDŠKOLSKI ODGOJ, OBRAZOVANJE, KULTURA I ŠPORT</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54D440A6"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1.744.737,21</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6DC0FD4A"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2.182.936,04</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1FC1E9AF"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2.524.923,91</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6D2EA454"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2.529.798,51</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1632ED7"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2.634.673,15</w:t>
            </w:r>
          </w:p>
        </w:tc>
      </w:tr>
      <w:tr w:rsidR="00903489" w:rsidRPr="00903489" w14:paraId="32286D3F"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BA96F11"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00201</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E16E021"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GRADSKA KNJIŽNICA I KULTURA</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EA11CB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161.733,59</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5D68FD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207.920,00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357EC6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241.955,00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F156DC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243.164,76</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421723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244.374,55</w:t>
            </w:r>
          </w:p>
        </w:tc>
      </w:tr>
      <w:tr w:rsidR="00903489" w:rsidRPr="00903489" w14:paraId="01D7D04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F3D09E"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1009</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B972938"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KULTURA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11531C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161.733,59</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5241A8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207.920,00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51A887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241.955,00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5F1C69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243.164,76</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75B3A4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244.374,55</w:t>
            </w:r>
          </w:p>
        </w:tc>
      </w:tr>
      <w:tr w:rsidR="00903489" w:rsidRPr="00903489" w14:paraId="084A11C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F5EBC1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A100901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61A47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GRADSKA KNJIŽNICA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EEE38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93.233,59</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9BE01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127.920,00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F12BC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146.955,00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2A0F9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147.689,76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0A5160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148.424,55</w:t>
            </w:r>
          </w:p>
        </w:tc>
      </w:tr>
      <w:tr w:rsidR="00903489" w:rsidRPr="00903489" w14:paraId="15D9CC5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9820D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2F7D2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E1978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70.572,05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7F567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96.910,00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24B1B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110.145,00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C303A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110.695,71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6F609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111.246,45</w:t>
            </w:r>
          </w:p>
        </w:tc>
      </w:tr>
      <w:tr w:rsidR="00903489" w:rsidRPr="00903489" w14:paraId="04A2B9A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81CC2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81A8C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3454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62.206,43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A132C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86.910,00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261CD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95.145,00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2E2DF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95.620,71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A5405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96.096,45</w:t>
            </w:r>
          </w:p>
        </w:tc>
      </w:tr>
      <w:tr w:rsidR="00903489" w:rsidRPr="00903489" w14:paraId="2D862DF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B9FAC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D6E22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AF238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49.426,46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F2A35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63.170,00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7154E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70.680,00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D274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71.033,40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C11D1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71.386,80</w:t>
            </w:r>
          </w:p>
        </w:tc>
      </w:tr>
      <w:tr w:rsidR="00903489" w:rsidRPr="00903489" w14:paraId="6D7DBF4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9EF79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8D039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CEB5D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12.214,13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2366C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2AC0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23.665,00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24F12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23.783,31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448A6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23.901,65</w:t>
            </w:r>
          </w:p>
        </w:tc>
      </w:tr>
      <w:tr w:rsidR="00903489" w:rsidRPr="00903489" w14:paraId="4F428F1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209D7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4532B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B6C26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565,84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4D17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903B0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35569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804,00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47603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808,00</w:t>
            </w:r>
          </w:p>
        </w:tc>
      </w:tr>
      <w:tr w:rsidR="00903489" w:rsidRPr="00903489" w14:paraId="52F4E62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7779C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86E79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70273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8.365,62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9E014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A43B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8083D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4DFD2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15.150,00</w:t>
            </w:r>
          </w:p>
        </w:tc>
      </w:tr>
      <w:tr w:rsidR="00903489" w:rsidRPr="00903489" w14:paraId="3AFE04B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2D659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9F376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1C892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8.365,62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C6CC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A305B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1ED6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1AE63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15.150,00</w:t>
            </w:r>
          </w:p>
        </w:tc>
      </w:tr>
      <w:tr w:rsidR="00903489" w:rsidRPr="00903489" w14:paraId="26F9F92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E08111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8457B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255EA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3.431,62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ACBA0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3.310,00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689EF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3.310,00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A6509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3.326,55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6E0D1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3.343,10</w:t>
            </w:r>
          </w:p>
        </w:tc>
      </w:tr>
      <w:tr w:rsidR="00903489" w:rsidRPr="00903489" w14:paraId="46F5F69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D87BC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10572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EB79C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124,40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ABE3F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5573A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43210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361,80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57662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363,60</w:t>
            </w:r>
          </w:p>
        </w:tc>
      </w:tr>
      <w:tr w:rsidR="00903489" w:rsidRPr="00903489" w14:paraId="4D0D28E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023A0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78EE5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5C6A9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124,40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727E7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6AAA5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15C96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361,80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C9A0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363,60</w:t>
            </w:r>
          </w:p>
        </w:tc>
      </w:tr>
      <w:tr w:rsidR="00903489" w:rsidRPr="00903489" w14:paraId="1396037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E6E83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67EFC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65B48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3.307,22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CB6AB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CA003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7722F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2.964,75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85F1B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2.979,50</w:t>
            </w:r>
          </w:p>
        </w:tc>
      </w:tr>
      <w:tr w:rsidR="00903489" w:rsidRPr="00903489" w14:paraId="31790AB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0FE93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72958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E059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3.307,22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E1F8E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173B5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4C6EF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2.964,75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4ADFC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2.979,50</w:t>
            </w:r>
          </w:p>
        </w:tc>
      </w:tr>
      <w:tr w:rsidR="00903489" w:rsidRPr="00903489" w14:paraId="06B48CA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B9D453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75C31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CA67A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19.229,92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F850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27.400,00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3A293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23.200,00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4B54F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23.316,00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07F7A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23.432,00</w:t>
            </w:r>
          </w:p>
        </w:tc>
      </w:tr>
      <w:tr w:rsidR="00903489" w:rsidRPr="00903489" w14:paraId="4E88038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85758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F9D09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C3E94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D91A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C7E16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1EC6A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4.321,50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B7717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4.343,00</w:t>
            </w:r>
          </w:p>
        </w:tc>
      </w:tr>
      <w:tr w:rsidR="00903489" w:rsidRPr="00903489" w14:paraId="5B3353B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FBEEB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02B84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65548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69018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12.600,00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6D931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B149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4.321,50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60734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4.343,00</w:t>
            </w:r>
          </w:p>
        </w:tc>
      </w:tr>
      <w:tr w:rsidR="00903489" w:rsidRPr="00903489" w14:paraId="14BA759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1E928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E82E1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3D1B8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17.729,92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559E1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9FFF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0D3B3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18.994,50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A4721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19.089,00</w:t>
            </w:r>
          </w:p>
        </w:tc>
      </w:tr>
      <w:tr w:rsidR="00903489" w:rsidRPr="00903489" w14:paraId="1CBF218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3CE38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F1F0E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B3007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17.729,92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24CF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14.800,00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49D85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18.900,00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FD7D9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18.994,50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C8BB1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19.089,00</w:t>
            </w:r>
          </w:p>
        </w:tc>
      </w:tr>
      <w:tr w:rsidR="00903489" w:rsidRPr="00903489" w14:paraId="4CB3131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76084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56</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28ED5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Fondovi EU</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257F7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C97CAC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4BFAE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E5675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BAD61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w:t>
            </w:r>
          </w:p>
        </w:tc>
      </w:tr>
      <w:tr w:rsidR="00903489" w:rsidRPr="00903489" w14:paraId="507903B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EFDC5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E54CB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BD41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94309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182BD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5729B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E8B51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w:t>
            </w:r>
          </w:p>
        </w:tc>
      </w:tr>
      <w:tr w:rsidR="00903489" w:rsidRPr="00903489" w14:paraId="12F083B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901F5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0FAF6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C948A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F6068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64BE7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EC6E4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50058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w:t>
            </w:r>
          </w:p>
        </w:tc>
      </w:tr>
      <w:tr w:rsidR="00903489" w:rsidRPr="00903489" w14:paraId="37B6FC5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FA4A3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60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FFD088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3DDF6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AFD4D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5845FC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5BD0F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301,50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6CE5C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303,00</w:t>
            </w:r>
          </w:p>
        </w:tc>
      </w:tr>
      <w:tr w:rsidR="00903489" w:rsidRPr="00903489" w14:paraId="0C50DB9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FBB70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A85E9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413CF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CCC17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270E7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626DA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148C2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303,00</w:t>
            </w:r>
          </w:p>
        </w:tc>
      </w:tr>
      <w:tr w:rsidR="00903489" w:rsidRPr="00903489" w14:paraId="0D1E86A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0588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4BB44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4FDB0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9170F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A7B3B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A609E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301,50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608D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303,00</w:t>
            </w:r>
          </w:p>
        </w:tc>
      </w:tr>
      <w:tr w:rsidR="00903489" w:rsidRPr="00903489" w14:paraId="28AF0C3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20D7C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A100902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203246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UDRUGE U KULTURI</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D98F40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68.500,00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D5FA8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EF89B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783FB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95.475,00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A30440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95.950,00</w:t>
            </w:r>
          </w:p>
        </w:tc>
      </w:tr>
      <w:tr w:rsidR="00903489" w:rsidRPr="00903489" w14:paraId="05856CC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73CEF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BD82D7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55874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68.500,00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34509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505875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266C4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95.475,00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D13A3F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95.950,00</w:t>
            </w:r>
          </w:p>
        </w:tc>
      </w:tr>
      <w:tr w:rsidR="00903489" w:rsidRPr="00903489" w14:paraId="48FD0EE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ABF84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605C4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C23C7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68.500,00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9634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710CA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FF10A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95.475,00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2F848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95.950,00</w:t>
            </w:r>
          </w:p>
        </w:tc>
      </w:tr>
      <w:tr w:rsidR="00903489" w:rsidRPr="00903489" w14:paraId="3DA1DD4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31B38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C0DBF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C38D1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68.500,00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0876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BA1A0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86627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95.475,00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7BCE3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95.950,00</w:t>
            </w:r>
          </w:p>
        </w:tc>
      </w:tr>
      <w:tr w:rsidR="00903489" w:rsidRPr="00903489" w14:paraId="2660C6C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5B3D953"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00202</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FA4EC6A"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OBRAZOVANJE</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50E7F3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1.357.548,22</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834341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1.775.016,04</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5BFCDB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2.052.968,91</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A42EFF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2.055.483,75</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4FDC44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2.157.998,60</w:t>
            </w:r>
          </w:p>
        </w:tc>
      </w:tr>
      <w:tr w:rsidR="00903489" w:rsidRPr="00903489" w14:paraId="785AAEA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9B72725"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1010</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265A8A2"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PREDŠKOLSTVO</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10321C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1.351.048,22</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0346BD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1.767.016,04</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61B1EE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2.044.968,91</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97D8803"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2.047.443,75</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FD7E43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2.149.918,60</w:t>
            </w:r>
          </w:p>
        </w:tc>
      </w:tr>
      <w:tr w:rsidR="00903489" w:rsidRPr="00903489" w14:paraId="0D75D835"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9EC127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A101001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8E382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DJEČJI VRTIĆ "PINOKIO"</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B0C00F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1.348.849,70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8EA9D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1.762.048,04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A15E6C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2.040.000,91</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5436C6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2.042.450,91</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6A2C5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2.144.900,92</w:t>
            </w:r>
          </w:p>
        </w:tc>
      </w:tr>
      <w:tr w:rsidR="00903489" w:rsidRPr="00903489" w14:paraId="57F739B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F4265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6EF30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6F1CD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892.529,97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B2BCF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1.232.955,58</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07836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1.203.274,60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47F68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920.140,97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CA890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1.017.007,35</w:t>
            </w:r>
          </w:p>
        </w:tc>
      </w:tr>
      <w:tr w:rsidR="00903489" w:rsidRPr="00903489" w14:paraId="4DFC81C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E047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ADFAB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76E0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875.330,08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9F6CF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1.178.955,58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231DA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1.098.274,60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35BA8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920.140,97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40C61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1.017.007,35</w:t>
            </w:r>
          </w:p>
        </w:tc>
      </w:tr>
      <w:tr w:rsidR="00903489" w:rsidRPr="00903489" w14:paraId="76B4CED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0A86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D02DB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76A03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786.080,48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ED5CE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1.085.655,58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1224F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1.000.074,60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202AA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849.589,97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10771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917.825,35</w:t>
            </w:r>
          </w:p>
        </w:tc>
      </w:tr>
      <w:tr w:rsidR="00903489" w:rsidRPr="00903489" w14:paraId="2825246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7118F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D8124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40FC8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89.249,60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2410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93.300,00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9C88D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98.200,00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3B0EE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70.551,00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B7898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99.182,00</w:t>
            </w:r>
          </w:p>
        </w:tc>
      </w:tr>
      <w:tr w:rsidR="00903489" w:rsidRPr="00903489" w14:paraId="5710C58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F1EA7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BCC4C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D5CF3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17.199,89</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7AA74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6F264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1C5E8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62B6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3611040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7638D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703CF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DECE6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8.387,76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A131F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07986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6E1A3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F1247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150CE57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D48B1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E89F3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30BAC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8.812,13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79335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B25C8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957AE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9960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165E30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CBC4A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40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643D38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Prihodi za posebne namjene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17610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118.129,62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2F201B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142.670,00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39925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144.030,91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0AFF5E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144.751,06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979D17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145.471,22</w:t>
            </w:r>
          </w:p>
        </w:tc>
      </w:tr>
      <w:tr w:rsidR="00903489" w:rsidRPr="00903489" w14:paraId="7A892E5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C355B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BD177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3A07F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118.129,62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50A9D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142.670,00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902A1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144.030,91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AAB84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144.751,06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6C371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145.471,22</w:t>
            </w:r>
          </w:p>
        </w:tc>
      </w:tr>
      <w:tr w:rsidR="00903489" w:rsidRPr="00903489" w14:paraId="0E8F7BF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C47F8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5E0F1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75376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113.460,87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DC1D2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138.160,00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58136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139.520,91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ED17E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140.218,51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BAEFD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140.916,12</w:t>
            </w:r>
          </w:p>
        </w:tc>
      </w:tr>
      <w:tr w:rsidR="00903489" w:rsidRPr="00903489" w14:paraId="117255D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93BEC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0A781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Financijski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ACD8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4.668,75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F0F24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8C791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0F6B7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4.532,55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9B49F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4.555,10</w:t>
            </w:r>
          </w:p>
        </w:tc>
      </w:tr>
      <w:tr w:rsidR="00903489" w:rsidRPr="00903489" w14:paraId="068D9BC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A54C8CA"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A7CE7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DA97AD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337.590,11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DA2D0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386.422,46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FE0B6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345.970,00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077E0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347.699,85</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C7A9AB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349.429,70</w:t>
            </w:r>
          </w:p>
        </w:tc>
      </w:tr>
      <w:tr w:rsidR="00903489" w:rsidRPr="00903489" w14:paraId="4DB441A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9EA1C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B0F96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5CC16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337.590,11</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7481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386.422,46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9FD45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345.970,00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A0F4A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347.699,85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D7751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349.429,70</w:t>
            </w:r>
          </w:p>
        </w:tc>
      </w:tr>
      <w:tr w:rsidR="00903489" w:rsidRPr="00903489" w14:paraId="149D9F9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46BFF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3E3D1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BA92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307.443,73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959E2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348.322,46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E0A04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308.870,00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71651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310.414,35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3EE32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311.958,70</w:t>
            </w:r>
          </w:p>
        </w:tc>
      </w:tr>
      <w:tr w:rsidR="00903489" w:rsidRPr="00903489" w14:paraId="4C8A186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0156D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6CC21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5F5D8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30.146,38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94B89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7A9F4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37.100,00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3D042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37.285,50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D5A0E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37.471,00</w:t>
            </w:r>
          </w:p>
        </w:tc>
      </w:tr>
      <w:tr w:rsidR="00903489" w:rsidRPr="00903489" w14:paraId="78CBE51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D61B0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8D6C01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19329A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B312C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E49EA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346.725,40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AA7739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629.859,03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50B2D0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632.992,65</w:t>
            </w:r>
          </w:p>
        </w:tc>
      </w:tr>
      <w:tr w:rsidR="00903489" w:rsidRPr="00903489" w14:paraId="43456A2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21C63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BDA11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DAC8C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553BB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E0583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346.725,40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A3DD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524.859,03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6A4E2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527.992,65</w:t>
            </w:r>
          </w:p>
        </w:tc>
      </w:tr>
      <w:tr w:rsidR="00903489" w:rsidRPr="00903489" w14:paraId="4DCBAFA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069CF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31</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C1443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zaposlene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62D59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A7B83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53446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346.725,40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746A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496.719,03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37E15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527.992,65</w:t>
            </w:r>
          </w:p>
        </w:tc>
      </w:tr>
      <w:tr w:rsidR="00903489" w:rsidRPr="00903489" w14:paraId="0C21563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1D66D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FE23A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AAEC0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2D961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E3F07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8D8FC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D0964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1164229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F4652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D94A5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06601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A16D2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E57B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C7C9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83D3E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105.000,00</w:t>
            </w:r>
          </w:p>
        </w:tc>
      </w:tr>
      <w:tr w:rsidR="00903489" w:rsidRPr="00903489" w14:paraId="3139ED6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8FAD5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A663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30CE0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5CF8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BAE54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FB5FE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93.010,00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9B5C8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80.760,00</w:t>
            </w:r>
          </w:p>
        </w:tc>
      </w:tr>
      <w:tr w:rsidR="00903489" w:rsidRPr="00903489" w14:paraId="61F94DD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54748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068A0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dodatna ulaganja na nefinancijskoj imovini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E8F59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23A38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44AEC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F11DF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11.990,00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17969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24.240,00</w:t>
            </w:r>
          </w:p>
        </w:tc>
      </w:tr>
      <w:tr w:rsidR="00903489" w:rsidRPr="00903489" w14:paraId="3D9316B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42B036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60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2F1E6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Donacije</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7AF0D6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A2A93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41CF8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C2A11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AADAA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7F1C594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DACFA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5D38D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59B38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47D57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D6321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4D969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971C0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7261771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9A770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D506D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74EC2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938F6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F0F4A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E57D4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04273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72FD997"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023A9B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A101002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331C57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AKTIVNOSTI PREDŠKOLE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7047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2.198,52</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96991B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4.968,00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207763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4.968,00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4DFA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4.992,84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18D5C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5.017,68</w:t>
            </w:r>
          </w:p>
        </w:tc>
      </w:tr>
      <w:tr w:rsidR="00903489" w:rsidRPr="00903489" w14:paraId="03E95BC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BB176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17E727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AF9E5B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2.198,52</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FEF91C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4.968,00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B92EE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4.968,00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492E0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4.992,84</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78BCA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5.017,68</w:t>
            </w:r>
          </w:p>
        </w:tc>
      </w:tr>
      <w:tr w:rsidR="00903489" w:rsidRPr="00903489" w14:paraId="1B55482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71F13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03F158E"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F2AD5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2.198,52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4320F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4.968,00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543FC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4.968,00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1EA66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4.992,84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E2AE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5.017,68</w:t>
            </w:r>
          </w:p>
        </w:tc>
      </w:tr>
      <w:tr w:rsidR="00903489" w:rsidRPr="00903489" w14:paraId="0FB688A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BE817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79CF5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14AC1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2.198,52</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41A42D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4.968,00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825E0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4.968,00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5E6E6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4.992,84</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BDB43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5.017,68</w:t>
            </w:r>
          </w:p>
        </w:tc>
      </w:tr>
      <w:tr w:rsidR="00903489" w:rsidRPr="00903489" w14:paraId="495DF58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8A63C9F"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1011</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C708F8E"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ŠKOLSTVO</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54014B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6.500,00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667EAC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BA5B70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F6B0A8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8.040,00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880342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8.080,00</w:t>
            </w:r>
          </w:p>
        </w:tc>
      </w:tr>
      <w:tr w:rsidR="00903489" w:rsidRPr="00903489" w14:paraId="43D64BE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4A1978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A101101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3E310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OSNOVNE ŠKOLE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AEC2C2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16737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FD4869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3B535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FA568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w:t>
            </w:r>
          </w:p>
        </w:tc>
      </w:tr>
      <w:tr w:rsidR="00903489" w:rsidRPr="00903489" w14:paraId="4296195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2B25C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556027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AA472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78A9E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A1A59E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F8F1F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66E61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5.050,00</w:t>
            </w:r>
          </w:p>
        </w:tc>
      </w:tr>
      <w:tr w:rsidR="00903489" w:rsidRPr="00903489" w14:paraId="77CD3F5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57B4F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C639B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A07D4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F363F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4FAE2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93F2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586FF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5.050,00</w:t>
            </w:r>
          </w:p>
        </w:tc>
      </w:tr>
      <w:tr w:rsidR="00903489" w:rsidRPr="00903489" w14:paraId="032AC7E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048F5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FB5A5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C67B4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731B7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F0C30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778D0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6963E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5.050,00</w:t>
            </w:r>
          </w:p>
        </w:tc>
      </w:tr>
      <w:tr w:rsidR="00903489" w:rsidRPr="00903489" w14:paraId="4B168C20"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44804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A101102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F8F71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SREDNJA ŠKOLA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2BDDA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4E4627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8A2F5B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EB8DF3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3.015,00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5593A1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3.030,00</w:t>
            </w:r>
          </w:p>
        </w:tc>
      </w:tr>
      <w:tr w:rsidR="00903489" w:rsidRPr="00903489" w14:paraId="2A6A73F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0A868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DD8FB1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262EE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BE108B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1816F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34F9D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3.015,00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60675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3.030,00</w:t>
            </w:r>
          </w:p>
        </w:tc>
      </w:tr>
      <w:tr w:rsidR="00903489" w:rsidRPr="00903489" w14:paraId="5423177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EEA28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DD841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21FE1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1C88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A1E4F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D8D84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EDF6D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3.030,00</w:t>
            </w:r>
          </w:p>
        </w:tc>
      </w:tr>
      <w:tr w:rsidR="00903489" w:rsidRPr="00903489" w14:paraId="135A3C6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47A15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049B0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BB7BD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8B827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19A78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3D207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3.015,00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134C1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3.030,00</w:t>
            </w:r>
          </w:p>
        </w:tc>
      </w:tr>
      <w:tr w:rsidR="00903489" w:rsidRPr="00903489" w14:paraId="524BB7E5"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7CB6062"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00203</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03D4ED8"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ŠPORT</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B0673A2"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225.455,40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18EEC6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200.000,00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3105AF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230.000,00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57EF2C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231.150,00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2347A7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232.300,00</w:t>
            </w:r>
          </w:p>
        </w:tc>
      </w:tr>
      <w:tr w:rsidR="00903489" w:rsidRPr="00903489" w14:paraId="3AD0C35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DDAA5A8"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lastRenderedPageBreak/>
              <w:t>Program: 1012</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811F33A"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SLUŽBA REKREACIJE I ŠPORTA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3ACBFB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225.455,40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54328BF"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200.000,00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C7EDE6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230.000,00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A263BE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231.150,00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7D3FE5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232.300,00</w:t>
            </w:r>
          </w:p>
        </w:tc>
      </w:tr>
      <w:tr w:rsidR="00903489" w:rsidRPr="00903489" w14:paraId="7E04C3B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5E1DC5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A101201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4CF786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TEKUĆE DONACIJE ŠPORTSKIM UDRUGAMA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64B169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225.455,40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9AF16A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D0485B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18AAC2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231.150,00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FFB129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232.300,00</w:t>
            </w:r>
          </w:p>
        </w:tc>
      </w:tr>
      <w:tr w:rsidR="00903489" w:rsidRPr="00903489" w14:paraId="20C5F46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7D5C27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E92078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336A32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225.455,40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1DC72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B6D7DD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8202D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231.150,00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0B4BD1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232.300,00</w:t>
            </w:r>
          </w:p>
        </w:tc>
      </w:tr>
      <w:tr w:rsidR="00903489" w:rsidRPr="00903489" w14:paraId="12DCAB7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3E6C0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C373D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3F6EB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225.455,40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8684F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A803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AB48C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231.150,00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4D9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232.300,00</w:t>
            </w:r>
          </w:p>
        </w:tc>
      </w:tr>
      <w:tr w:rsidR="00903489" w:rsidRPr="00903489" w14:paraId="10504B8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AA50A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E472B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11360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225.455,40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52DE8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2F79B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5C725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231.150,00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9C255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232.300,00</w:t>
            </w:r>
          </w:p>
        </w:tc>
      </w:tr>
      <w:tr w:rsidR="00903489" w:rsidRPr="00903489" w14:paraId="3F58FDA5"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736D3461" w14:textId="77777777" w:rsidR="00903489" w:rsidRPr="00903489" w:rsidRDefault="00903489" w:rsidP="00903489">
            <w:pPr>
              <w:spacing w:after="0" w:line="240" w:lineRule="auto"/>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003</w:t>
            </w:r>
          </w:p>
        </w:tc>
        <w:tc>
          <w:tcPr>
            <w:tcW w:w="586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3F7F66FF" w14:textId="77777777" w:rsidR="00903489" w:rsidRPr="00903489" w:rsidRDefault="00903489" w:rsidP="00903489">
            <w:pPr>
              <w:spacing w:after="0" w:line="240" w:lineRule="auto"/>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OSTALI KORISNICI PRORAČUNA</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159F24EC"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521.834,62</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155834E0"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693.444,60</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73F11F42"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805.233,34</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0449156D"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732.846,00</w:t>
            </w:r>
          </w:p>
        </w:tc>
        <w:tc>
          <w:tcPr>
            <w:tcW w:w="1540" w:type="dxa"/>
            <w:tcBorders>
              <w:top w:val="nil"/>
              <w:left w:val="nil"/>
              <w:bottom w:val="single" w:sz="4" w:space="0" w:color="000000"/>
              <w:right w:val="single" w:sz="4" w:space="0" w:color="000000"/>
            </w:tcBorders>
            <w:shd w:val="clear" w:color="000000" w:fill="4472C4"/>
            <w:tcMar>
              <w:top w:w="15" w:type="dxa"/>
              <w:left w:w="15" w:type="dxa"/>
              <w:bottom w:w="0" w:type="dxa"/>
              <w:right w:w="15" w:type="dxa"/>
            </w:tcMar>
            <w:vAlign w:val="bottom"/>
            <w:hideMark/>
          </w:tcPr>
          <w:p w14:paraId="02C7A030" w14:textId="77777777" w:rsidR="00903489" w:rsidRPr="00903489" w:rsidRDefault="00903489" w:rsidP="00903489">
            <w:pPr>
              <w:spacing w:after="0" w:line="240" w:lineRule="auto"/>
              <w:jc w:val="right"/>
              <w:rPr>
                <w:rFonts w:ascii="Aptos Narrow" w:eastAsia="Aptos" w:hAnsi="Aptos Narrow" w:cs="Times New Roman"/>
                <w:b/>
                <w:bCs/>
                <w:color w:val="FFFFFF"/>
                <w:sz w:val="24"/>
                <w:szCs w:val="24"/>
              </w:rPr>
            </w:pPr>
            <w:r w:rsidRPr="00903489">
              <w:rPr>
                <w:rFonts w:ascii="Aptos Narrow" w:eastAsia="Aptos" w:hAnsi="Aptos Narrow" w:cs="Times New Roman"/>
                <w:b/>
                <w:bCs/>
                <w:color w:val="FFFFFF"/>
                <w:sz w:val="24"/>
                <w:szCs w:val="24"/>
              </w:rPr>
              <w:t>736.492,00</w:t>
            </w:r>
          </w:p>
        </w:tc>
      </w:tr>
      <w:tr w:rsidR="00903489" w:rsidRPr="00903489" w14:paraId="4B35A89E"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407833A"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00301</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F422236"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VATROGASTVO</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72738C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82.801,30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66BAD96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87.500,00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9322DF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117.500,00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051A1A6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118.087,50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573815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118.675,00</w:t>
            </w:r>
          </w:p>
        </w:tc>
      </w:tr>
      <w:tr w:rsidR="00903489" w:rsidRPr="00903489" w14:paraId="0775886A"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4929036"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1013</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5B34726"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PROTUPOŽARNA I CIVILNA  ZAŠTITA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9BD6D5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82.801,30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318C26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87.500,00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7E7BA4C"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117.500,00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FE2C243"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118.087,50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9435736"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118.675,00</w:t>
            </w:r>
          </w:p>
        </w:tc>
      </w:tr>
      <w:tr w:rsidR="00903489" w:rsidRPr="00903489" w14:paraId="299238CC"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2FEFD2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A101302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42DFA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VATROGASNA ZAJEDNICA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8A76E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E019F4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F48CC5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6D5475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110.550,00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1E54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111.100,00</w:t>
            </w:r>
          </w:p>
        </w:tc>
      </w:tr>
      <w:tr w:rsidR="00903489" w:rsidRPr="00903489" w14:paraId="569ECFB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999AA0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1C7FB2"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B5BAF8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68813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30F76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90636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110.550,00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242C57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111.100,00</w:t>
            </w:r>
          </w:p>
        </w:tc>
      </w:tr>
      <w:tr w:rsidR="00903489" w:rsidRPr="00903489" w14:paraId="6B6C598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932C4C"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172C6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0F98F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6B963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6DAF9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F5186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110.550,00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B51ED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111.100,00</w:t>
            </w:r>
          </w:p>
        </w:tc>
      </w:tr>
      <w:tr w:rsidR="00903489" w:rsidRPr="00903489" w14:paraId="40CA22F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B421F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88770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4AD6A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1A9F3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5AB7D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4B185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110.550,00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F23AE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111.100,00</w:t>
            </w:r>
          </w:p>
        </w:tc>
      </w:tr>
      <w:tr w:rsidR="00903489" w:rsidRPr="00903489" w14:paraId="623C64AE"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5ABDA9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A101303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CED6E3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CIVILNA ZAŠTITA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A9A63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2.801,30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5995D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5D561F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1C484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7.537,50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60D95E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7.575,00</w:t>
            </w:r>
          </w:p>
        </w:tc>
      </w:tr>
      <w:tr w:rsidR="00903489" w:rsidRPr="00903489" w14:paraId="4C48A8F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1EF560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C43D3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46C0A7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2.801,30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FDA61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E034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F4FE7D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7.537,50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77E1DC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7.575,00</w:t>
            </w:r>
          </w:p>
        </w:tc>
      </w:tr>
      <w:tr w:rsidR="00903489" w:rsidRPr="00903489" w14:paraId="34C85F1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85FCF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47752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65A9E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2.801,30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33521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E01F8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26779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7.537,50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C6341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7.575,00</w:t>
            </w:r>
          </w:p>
        </w:tc>
      </w:tr>
      <w:tr w:rsidR="00903489" w:rsidRPr="00903489" w14:paraId="1A71C58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F408C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01D94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9D6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1.301,30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ACBEB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1DBB4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A6D7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5.527,50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B69B5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5.555,00</w:t>
            </w:r>
          </w:p>
        </w:tc>
      </w:tr>
      <w:tr w:rsidR="00903489" w:rsidRPr="00903489" w14:paraId="6FAF2ED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B28D2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DCE55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57C10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94216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D21E5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E2089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6FF8F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w:t>
            </w:r>
          </w:p>
        </w:tc>
      </w:tr>
      <w:tr w:rsidR="00903489" w:rsidRPr="00903489" w14:paraId="536A9FD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2EA3D0FB"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GLAVA: 00302</w:t>
            </w:r>
          </w:p>
        </w:tc>
        <w:tc>
          <w:tcPr>
            <w:tcW w:w="586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D950AEB"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OSTALE GRADSKE AKTIVNOSTI</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39D0BC2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439.033,32</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17CE00E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605.944,60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55055943"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687.733,34</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493E33C9"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614.758,50</w:t>
            </w:r>
          </w:p>
        </w:tc>
        <w:tc>
          <w:tcPr>
            <w:tcW w:w="1540" w:type="dxa"/>
            <w:tcBorders>
              <w:top w:val="nil"/>
              <w:left w:val="nil"/>
              <w:bottom w:val="single" w:sz="4" w:space="0" w:color="000000"/>
              <w:right w:val="single" w:sz="4" w:space="0" w:color="000000"/>
            </w:tcBorders>
            <w:shd w:val="clear" w:color="000000" w:fill="D6DFEC"/>
            <w:tcMar>
              <w:top w:w="15" w:type="dxa"/>
              <w:left w:w="15" w:type="dxa"/>
              <w:bottom w:w="0" w:type="dxa"/>
              <w:right w:w="15" w:type="dxa"/>
            </w:tcMar>
            <w:vAlign w:val="bottom"/>
            <w:hideMark/>
          </w:tcPr>
          <w:p w14:paraId="725574B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617.817,00</w:t>
            </w:r>
          </w:p>
        </w:tc>
      </w:tr>
      <w:tr w:rsidR="00903489" w:rsidRPr="00903489" w14:paraId="17FC6D56"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C83BAFA"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1014</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4A8CC8F"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SOCIJALNA ZAŠTITA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ABC4537"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366.488,72</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23B842D2"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445.700,00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EE8453B"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559.033,34</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FB4EB8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485.415,00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ABDA1F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487.830,00</w:t>
            </w:r>
          </w:p>
        </w:tc>
      </w:tr>
      <w:tr w:rsidR="00903489" w:rsidRPr="00903489" w14:paraId="3CFB96E2"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9FB2A7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A101401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399409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POMOĆ SOCIJALNO UGROŽENOM STANOVNIŠTVU</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4EE7F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68.236,10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326FC0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92.000,00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9E681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119.000,00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0BF6E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119.595,00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F0BA66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120.190,00</w:t>
            </w:r>
          </w:p>
        </w:tc>
      </w:tr>
      <w:tr w:rsidR="00903489" w:rsidRPr="00903489" w14:paraId="30A6EF5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D8314C"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E7F83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82B2EE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52.274,07</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BB224D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C3B067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7316C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89.445,00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3EE36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89.890,00</w:t>
            </w:r>
          </w:p>
        </w:tc>
      </w:tr>
      <w:tr w:rsidR="00903489" w:rsidRPr="00903489" w14:paraId="51F716F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37A46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ABFE0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3D4C3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52.274,07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A2265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A48B5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82CFB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89.445,00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66848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89.890,00</w:t>
            </w:r>
          </w:p>
        </w:tc>
      </w:tr>
      <w:tr w:rsidR="00903489" w:rsidRPr="00903489" w14:paraId="42B0CC8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38FF7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AD23C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41DE2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52.274,07</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F3A69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4A48A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D1A35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89.445,00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74A37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89.890,00</w:t>
            </w:r>
          </w:p>
        </w:tc>
      </w:tr>
      <w:tr w:rsidR="00903489" w:rsidRPr="00903489" w14:paraId="0BD1A3A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3A4046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649D2B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92479A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15.962,03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5C2C6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13.000,00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62117E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9DFB4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30.150,00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BD221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30.300,00</w:t>
            </w:r>
          </w:p>
        </w:tc>
      </w:tr>
      <w:tr w:rsidR="00903489" w:rsidRPr="00903489" w14:paraId="2539A1A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7FE25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19C3B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764D9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15.962,03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8AD1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877DD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F3A0C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6C064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30.300,00</w:t>
            </w:r>
          </w:p>
        </w:tc>
      </w:tr>
      <w:tr w:rsidR="00903489" w:rsidRPr="00903489" w14:paraId="27C7A2A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FBE8B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1BE59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447AC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15.962,03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27B7E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13.000,00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C60F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50564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30.150,00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0A3CB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30.300,00</w:t>
            </w:r>
          </w:p>
        </w:tc>
      </w:tr>
      <w:tr w:rsidR="00903489" w:rsidRPr="00903489" w14:paraId="422406B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0B8A62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A101402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6CB282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CRVENI KRIŽ</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AD0D91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924BDD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193B85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130C1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28.140,00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4C484B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28.280,00</w:t>
            </w:r>
          </w:p>
        </w:tc>
      </w:tr>
      <w:tr w:rsidR="00903489" w:rsidRPr="00903489" w14:paraId="7B3953F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23168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C24877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06DF09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B4B81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4060F8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8FC14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28.140,00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F7BDC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28.280,00</w:t>
            </w:r>
          </w:p>
        </w:tc>
      </w:tr>
      <w:tr w:rsidR="00903489" w:rsidRPr="00903489" w14:paraId="505CA58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56F32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BC44C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A7D6B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E61D4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EEA7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769D3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7B399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28.280,00</w:t>
            </w:r>
          </w:p>
        </w:tc>
      </w:tr>
      <w:tr w:rsidR="00903489" w:rsidRPr="00903489" w14:paraId="1B2B83F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46FFD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D0AB3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46842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49889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09E55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AF33F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28.140,00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692E8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28.280,00</w:t>
            </w:r>
          </w:p>
        </w:tc>
      </w:tr>
      <w:tr w:rsidR="00903489" w:rsidRPr="00903489" w14:paraId="534B8A65"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72125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A101403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36604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TEKUĆE DONACIJE UDRUGAMA S PODRUČJA SOC. ZAŠTITE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1796E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05B87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183B52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4CA85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9.045,00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87D8B0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9.090,00</w:t>
            </w:r>
          </w:p>
        </w:tc>
      </w:tr>
      <w:tr w:rsidR="00903489" w:rsidRPr="00903489" w14:paraId="0E55A730"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4093264"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DED6CF"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2E38AA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4C19F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8DE48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845B1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9.045,00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A86C7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9.090,00</w:t>
            </w:r>
          </w:p>
        </w:tc>
      </w:tr>
      <w:tr w:rsidR="00903489" w:rsidRPr="00903489" w14:paraId="2C2934A7"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FB986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11A71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430B3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13423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E0C32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AC64D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A5A7F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9.090,00</w:t>
            </w:r>
          </w:p>
        </w:tc>
      </w:tr>
      <w:tr w:rsidR="00903489" w:rsidRPr="00903489" w14:paraId="2E464E7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D5AB8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234BF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26135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C14E9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F1E4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E951A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9.045,00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EEA54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9.090,00</w:t>
            </w:r>
          </w:p>
        </w:tc>
      </w:tr>
      <w:tr w:rsidR="00903489" w:rsidRPr="00903489" w14:paraId="5EFDADD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A3CBFE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A101404</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9B2C9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OBRAZOVANJE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70A08E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152.401,46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70539C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190.700,00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E872EC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31BA40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201.000,00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670587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202.000,00</w:t>
            </w:r>
          </w:p>
        </w:tc>
      </w:tr>
      <w:tr w:rsidR="00903489" w:rsidRPr="00903489" w14:paraId="4579732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5039D5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6B843A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088C8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152.401,46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104D51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190.700,00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7095D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731774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201.000,00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FB9C9A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202.000,00</w:t>
            </w:r>
          </w:p>
        </w:tc>
      </w:tr>
      <w:tr w:rsidR="00903489" w:rsidRPr="00903489" w14:paraId="1972491A"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44035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4064A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629B9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152.401,46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F87EF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190.700,00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2AEAA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78A8E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F3EA5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202.000,00</w:t>
            </w:r>
          </w:p>
        </w:tc>
      </w:tr>
      <w:tr w:rsidR="00903489" w:rsidRPr="00903489" w14:paraId="2D88203C"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6B2C1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86FFF7"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16748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152.401,46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80678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190.700,00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910B11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675DC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201.000,00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86917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202.000,00</w:t>
            </w:r>
          </w:p>
        </w:tc>
      </w:tr>
      <w:tr w:rsidR="00903489" w:rsidRPr="00903489" w14:paraId="1F6F36BD"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A495DA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A101405</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B9A06C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PRONATALITETNA POLITIKA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F024AC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111.851,16</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5FC336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74DA2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86B9A3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127.635,00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091B7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128.270,00</w:t>
            </w:r>
          </w:p>
        </w:tc>
      </w:tr>
      <w:tr w:rsidR="00903489" w:rsidRPr="00903489" w14:paraId="0AE0822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893C55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8060B19"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AE480E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111.851,16</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B32921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E1C14B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127.000,00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654651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27.135,00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EB7C3D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27.270,00</w:t>
            </w:r>
          </w:p>
        </w:tc>
      </w:tr>
      <w:tr w:rsidR="00903489" w:rsidRPr="00903489" w14:paraId="4598323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ED8F0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949AE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07022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111.851,16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E99C0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12C17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9573D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27.135,00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899E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27.270,00</w:t>
            </w:r>
          </w:p>
        </w:tc>
      </w:tr>
      <w:tr w:rsidR="00903489" w:rsidRPr="00903489" w14:paraId="243A78A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CABDF1"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37</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E5CA9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Naknade građanima i kućanstvima na temelju osiguranja i druge naknade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99455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20.027,43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05EF9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C4B37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26C19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27.135,00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DC948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27.270,00</w:t>
            </w:r>
          </w:p>
        </w:tc>
      </w:tr>
      <w:tr w:rsidR="00903489" w:rsidRPr="00903489" w14:paraId="3913892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344DD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9A94B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47C3BC"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91.823,73</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2CF74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178C4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6C603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B33C0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3B664CA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8078A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A0707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A072CA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0487E4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8201B98"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2CF4E7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602FB1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101.000,00</w:t>
            </w:r>
          </w:p>
        </w:tc>
      </w:tr>
      <w:tr w:rsidR="00903489" w:rsidRPr="00903489" w14:paraId="3322BB6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96C90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ABEEA2"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EEA0C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49BE48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9A621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B1C06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301F0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101.000,00</w:t>
            </w:r>
          </w:p>
        </w:tc>
      </w:tr>
      <w:tr w:rsidR="00903489" w:rsidRPr="00903489" w14:paraId="4E6EBBD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7BA41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542D5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5BB0D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9C840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81921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CDD01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AB4355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101.000,00</w:t>
            </w:r>
          </w:p>
        </w:tc>
      </w:tr>
      <w:tr w:rsidR="00903489" w:rsidRPr="00903489" w14:paraId="27BDD95B"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9292FA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A101917</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C14E50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PROGRAM BOJE DJETINJSTVA - edukativne, kulturne i sportske aktivnosti za djecu</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8A2A6C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2E47EA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2DB912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76.033,34</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5C5FC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ED2601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69E6D70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4840F7"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F1137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2842D2B"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3C5B74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14943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11.405,01</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875DD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F27189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6551C35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D5268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lastRenderedPageBreak/>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32E45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6F211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556BB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12F9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9.886,35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EF9EB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A9273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56E7146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C0BFF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9075BD"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01B0C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E853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D7799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3.904,35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5F680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826786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7012943B"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06008A"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4FA186"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F4610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3B311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D7409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5.982,00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D660C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4CD19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DAB567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CD82C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E1E38E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79A30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70045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63F5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1.518,66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CFB14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D104A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5A3C2B5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22475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16B32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E30ED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BD591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0FEBC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1.518,66</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D3EC2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17985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A90844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1571AAB"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52</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5A6F435"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Pomoći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F33FD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E3EEF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9547DB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64.628,33</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967771F"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151CF74"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r>
      <w:tr w:rsidR="00903489" w:rsidRPr="00903489" w14:paraId="0B2C5DD5"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2EC03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9057C5"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83E1F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81239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4018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56.022,65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EC3D9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04332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5ECAFF5D"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1859FE"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414629"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Materijalni rashodi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2D410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25655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AE9DB0"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22.124,65</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E4614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4897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1389BE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B36EC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AE640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40F55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1070C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C282C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33.898,00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1F6D3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AD08D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697B995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3C20CE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75591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za nabavu nefinancijske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E7FED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528EB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D3127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8.605,68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780F0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E5A1C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r>
      <w:tr w:rsidR="00903489" w:rsidRPr="00903489" w14:paraId="5248BCC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B6A733"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392E64"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nabavu proizvedene dugotrajne imovine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B5642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D0245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40F780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8.605,68</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7C442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4FCBC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r>
      <w:tr w:rsidR="00903489" w:rsidRPr="00903489" w14:paraId="09010143"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B7ED5F7"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1015</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BE33CFF"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OSTALE UDRUGE</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7A7DB6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46.000,00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D99C7CE"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91.000,00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F92F03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76.000,00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3157725"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76.380,00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9889D21"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76.760,00</w:t>
            </w:r>
          </w:p>
        </w:tc>
      </w:tr>
      <w:tr w:rsidR="00903489" w:rsidRPr="00903489" w14:paraId="6407DA40"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69A2E0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A101501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3E3747D"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TEKUĆE DONACIJE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7F8CBF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EB63D9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065A8C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7092C8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5FE9E3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w:t>
            </w:r>
          </w:p>
        </w:tc>
      </w:tr>
      <w:tr w:rsidR="00903489" w:rsidRPr="00903489" w14:paraId="6D6184E8"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1C4CAD4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4A0697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8F9D61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95FEA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C561FA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F09609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10.050,00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5CABA8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10.100,00</w:t>
            </w:r>
          </w:p>
        </w:tc>
      </w:tr>
      <w:tr w:rsidR="00903489" w:rsidRPr="00903489" w14:paraId="195E31B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34B24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DA7A973"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41C9D4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8CBB55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F8BC0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52F25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281FF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10.100,00</w:t>
            </w:r>
          </w:p>
        </w:tc>
      </w:tr>
      <w:tr w:rsidR="00903489" w:rsidRPr="00903489" w14:paraId="423DBCC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A56F0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A03E1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7A280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5E9F8A"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1B226F"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04EA1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10.050,00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95788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10.100,00</w:t>
            </w:r>
          </w:p>
        </w:tc>
      </w:tr>
      <w:tr w:rsidR="00903489" w:rsidRPr="00903489" w14:paraId="46337BB2"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57F905B"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A101502</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9D1D524"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TURISTIČKA ZAJEDNICA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1EA970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32.000,00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FAFBB6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47.000,00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3B6626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6E9AB10"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42.210,00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D544DA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42.420,00</w:t>
            </w:r>
          </w:p>
        </w:tc>
      </w:tr>
      <w:tr w:rsidR="00903489" w:rsidRPr="00903489" w14:paraId="0D56B48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01D43D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DBF6ED6"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40BCD4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3CEE5DA"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47.000,00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3549392"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42.000,00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AE046E"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42.210,00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4ECD93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42.420,00</w:t>
            </w:r>
          </w:p>
        </w:tc>
      </w:tr>
      <w:tr w:rsidR="00903489" w:rsidRPr="00903489" w14:paraId="32FC1FC9"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578D4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D4DE6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63D8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652A8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91CED1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C02461"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42.210,00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4090B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42.420,00</w:t>
            </w:r>
          </w:p>
        </w:tc>
      </w:tr>
      <w:tr w:rsidR="00903489" w:rsidRPr="00903489" w14:paraId="402869D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5C260F"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2CBE3B"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8A9A6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531BE5"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47.000,00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61E0EE"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6FEE1E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42.210,00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2D33C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42.420,00</w:t>
            </w:r>
          </w:p>
        </w:tc>
      </w:tr>
      <w:tr w:rsidR="00903489" w:rsidRPr="00903489" w14:paraId="5B409225"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6970D2B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A101503</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84FA0A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VJERSKE ZAJEDNICE</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1D1E92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3CEB2F0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577E48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387DA3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24.120,00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DCBB738"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24.240,00</w:t>
            </w:r>
          </w:p>
        </w:tc>
      </w:tr>
      <w:tr w:rsidR="00903489" w:rsidRPr="00903489" w14:paraId="71E70DA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7337520"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C2124BD"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E8B57E0"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2B717E5"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34.000,00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1C9F2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24.000,00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611A74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24.120,00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E4A4287"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24.240,00</w:t>
            </w:r>
          </w:p>
        </w:tc>
      </w:tr>
      <w:tr w:rsidR="00903489" w:rsidRPr="00903489" w14:paraId="0D1B82B6"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04C7D8"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73783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D7D28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B3C13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08E5D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679C5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24.120,00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8E67B79"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24.240,00</w:t>
            </w:r>
          </w:p>
        </w:tc>
      </w:tr>
      <w:tr w:rsidR="00903489" w:rsidRPr="00903489" w14:paraId="34A5C4F2"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724AF8"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B2F78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CF554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067C9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E5FBB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F5FC3D"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24.120,00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DA6D7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24.240,00</w:t>
            </w:r>
          </w:p>
        </w:tc>
      </w:tr>
      <w:tr w:rsidR="00903489" w:rsidRPr="00903489" w14:paraId="41FA7C5C"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6814E9B"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1016</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9B17038"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SLUŽBE EMITIRANJA I IZDAVANJA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72ADB0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26.544,60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22073D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61.544,60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2095EC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45.000,00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C8566B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45.225,00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4C12D7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45.450,00</w:t>
            </w:r>
          </w:p>
        </w:tc>
      </w:tr>
      <w:tr w:rsidR="00903489" w:rsidRPr="00903489" w14:paraId="1791BA7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4181A37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A101601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56A2351"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RADIO DONJI MIHOLJAC</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3D9AEA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26.544,60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10DD01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61.544,60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9F4448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45.000,00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AF6419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45.225,00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43F32E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45.450,00</w:t>
            </w:r>
          </w:p>
        </w:tc>
      </w:tr>
      <w:tr w:rsidR="00903489" w:rsidRPr="00903489" w14:paraId="059521C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4CAA3CB1"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lastRenderedPageBreak/>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9E7429E"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77F38BF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26.544,60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54CE05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61.544,60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01473536"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45.000,00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3D116A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45.225,00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75F1429"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45.450,00</w:t>
            </w:r>
          </w:p>
        </w:tc>
      </w:tr>
      <w:tr w:rsidR="00903489" w:rsidRPr="00903489" w14:paraId="64310743"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3EA0CF"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ABF38A"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AAB81E"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26.544,60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663F93"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61.544,60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A1BAC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88207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45.225,00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534955"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45.450,00</w:t>
            </w:r>
          </w:p>
        </w:tc>
      </w:tr>
      <w:tr w:rsidR="00903489" w:rsidRPr="00903489" w14:paraId="56D83BB4"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F076D2"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35</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0B3C30"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Subvencije</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10FED7"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26.544,60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0D4C42"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61.544,60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3344C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45.000,00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EE1BCF1"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45.225,00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1A23B3"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45.450,00</w:t>
            </w:r>
          </w:p>
        </w:tc>
      </w:tr>
      <w:tr w:rsidR="00903489" w:rsidRPr="00903489" w14:paraId="149E933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407752A4"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Program: 1017</w:t>
            </w:r>
          </w:p>
        </w:tc>
        <w:tc>
          <w:tcPr>
            <w:tcW w:w="586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3CAA26C9" w14:textId="77777777" w:rsidR="00903489" w:rsidRPr="00903489" w:rsidRDefault="00903489" w:rsidP="00903489">
            <w:pPr>
              <w:spacing w:after="0" w:line="240" w:lineRule="auto"/>
              <w:rPr>
                <w:rFonts w:ascii="Aptos Narrow" w:eastAsia="Aptos" w:hAnsi="Aptos Narrow" w:cs="Times New Roman"/>
                <w:b/>
                <w:bCs/>
                <w:color w:val="000000"/>
              </w:rPr>
            </w:pPr>
            <w:r w:rsidRPr="00903489">
              <w:rPr>
                <w:rFonts w:ascii="Aptos Narrow" w:eastAsia="Aptos" w:hAnsi="Aptos Narrow" w:cs="Times New Roman"/>
                <w:b/>
                <w:bCs/>
                <w:color w:val="000000"/>
              </w:rPr>
              <w:t>OTKLANJANJE POSLJEDICA ELEMENTARNIH NEPOGODA</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669EB240"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71293B28"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7.700,00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55CF5BAD"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7.700,00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0EFCD64A"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7.738,50</w:t>
            </w:r>
          </w:p>
        </w:tc>
        <w:tc>
          <w:tcPr>
            <w:tcW w:w="1540" w:type="dxa"/>
            <w:tcBorders>
              <w:top w:val="nil"/>
              <w:left w:val="nil"/>
              <w:bottom w:val="single" w:sz="4" w:space="0" w:color="000000"/>
              <w:right w:val="single" w:sz="4" w:space="0" w:color="000000"/>
            </w:tcBorders>
            <w:shd w:val="clear" w:color="000000" w:fill="BFBFBF"/>
            <w:tcMar>
              <w:top w:w="15" w:type="dxa"/>
              <w:left w:w="15" w:type="dxa"/>
              <w:bottom w:w="0" w:type="dxa"/>
              <w:right w:w="15" w:type="dxa"/>
            </w:tcMar>
            <w:vAlign w:val="bottom"/>
            <w:hideMark/>
          </w:tcPr>
          <w:p w14:paraId="14B59194" w14:textId="77777777" w:rsidR="00903489" w:rsidRPr="00903489" w:rsidRDefault="00903489" w:rsidP="00903489">
            <w:pPr>
              <w:spacing w:after="0" w:line="240" w:lineRule="auto"/>
              <w:jc w:val="right"/>
              <w:rPr>
                <w:rFonts w:ascii="Aptos Narrow" w:eastAsia="Aptos" w:hAnsi="Aptos Narrow" w:cs="Times New Roman"/>
                <w:b/>
                <w:bCs/>
                <w:color w:val="000000"/>
              </w:rPr>
            </w:pPr>
            <w:r w:rsidRPr="00903489">
              <w:rPr>
                <w:rFonts w:ascii="Aptos Narrow" w:eastAsia="Aptos" w:hAnsi="Aptos Narrow" w:cs="Times New Roman"/>
                <w:b/>
                <w:bCs/>
                <w:color w:val="000000"/>
              </w:rPr>
              <w:t>7.777,00</w:t>
            </w:r>
          </w:p>
        </w:tc>
      </w:tr>
      <w:tr w:rsidR="00903489" w:rsidRPr="00903489" w14:paraId="6B4AA7F1" w14:textId="77777777" w:rsidTr="005B5D4C">
        <w:trPr>
          <w:trHeight w:val="702"/>
        </w:trPr>
        <w:tc>
          <w:tcPr>
            <w:tcW w:w="1340" w:type="dxa"/>
            <w:tcBorders>
              <w:top w:val="nil"/>
              <w:left w:val="single" w:sz="4" w:space="0" w:color="000000"/>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28169A9"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Aktivnost: A101701</w:t>
            </w:r>
          </w:p>
        </w:tc>
        <w:tc>
          <w:tcPr>
            <w:tcW w:w="586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9BF4E56"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POMOĆ ZA OTKLANANJE ELEMENT. NEPOGODA I ŠTETA</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1B2D2032"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2D38E7AC"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7B1C6C3A"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7.700,00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0C70D67F"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7.738,50</w:t>
            </w:r>
          </w:p>
        </w:tc>
        <w:tc>
          <w:tcPr>
            <w:tcW w:w="1540" w:type="dxa"/>
            <w:tcBorders>
              <w:top w:val="nil"/>
              <w:left w:val="nil"/>
              <w:bottom w:val="single" w:sz="4" w:space="0" w:color="000000"/>
              <w:right w:val="single" w:sz="4" w:space="0" w:color="000000"/>
            </w:tcBorders>
            <w:shd w:val="clear" w:color="000000" w:fill="F2F2F2"/>
            <w:tcMar>
              <w:top w:w="15" w:type="dxa"/>
              <w:left w:w="15" w:type="dxa"/>
              <w:bottom w:w="0" w:type="dxa"/>
              <w:right w:w="15" w:type="dxa"/>
            </w:tcMar>
            <w:vAlign w:val="bottom"/>
            <w:hideMark/>
          </w:tcPr>
          <w:p w14:paraId="5FE18F7D"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7.777,00</w:t>
            </w:r>
          </w:p>
        </w:tc>
      </w:tr>
      <w:tr w:rsidR="00903489" w:rsidRPr="00903489" w14:paraId="25B7C92F"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2A19BA38"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Izvor: 10</w:t>
            </w:r>
          </w:p>
        </w:tc>
        <w:tc>
          <w:tcPr>
            <w:tcW w:w="586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809BEF3" w14:textId="77777777" w:rsidR="00903489" w:rsidRPr="00903489" w:rsidRDefault="00903489" w:rsidP="00903489">
            <w:pPr>
              <w:spacing w:after="0" w:line="240" w:lineRule="auto"/>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Opći prihodi i primici</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8EF4A7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3F0991ED"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D2FF5E1"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7.700,00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63F8AF33"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7.738,50</w:t>
            </w:r>
          </w:p>
        </w:tc>
        <w:tc>
          <w:tcPr>
            <w:tcW w:w="154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bottom"/>
            <w:hideMark/>
          </w:tcPr>
          <w:p w14:paraId="5666181C" w14:textId="77777777" w:rsidR="00903489" w:rsidRPr="00903489" w:rsidRDefault="00903489" w:rsidP="00903489">
            <w:pPr>
              <w:spacing w:after="0" w:line="240" w:lineRule="auto"/>
              <w:jc w:val="right"/>
              <w:rPr>
                <w:rFonts w:ascii="Aptos Narrow" w:eastAsia="Aptos" w:hAnsi="Aptos Narrow" w:cs="Times New Roman"/>
                <w:color w:val="000000"/>
                <w:sz w:val="16"/>
                <w:szCs w:val="16"/>
              </w:rPr>
            </w:pPr>
            <w:r w:rsidRPr="00903489">
              <w:rPr>
                <w:rFonts w:ascii="Aptos Narrow" w:eastAsia="Aptos" w:hAnsi="Aptos Narrow" w:cs="Times New Roman"/>
                <w:color w:val="000000"/>
                <w:sz w:val="16"/>
                <w:szCs w:val="16"/>
              </w:rPr>
              <w:t>7.777,00</w:t>
            </w:r>
          </w:p>
        </w:tc>
      </w:tr>
      <w:tr w:rsidR="00903489" w:rsidRPr="00903489" w14:paraId="355AEC41"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ADCFD7"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3</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0B34B0" w14:textId="77777777" w:rsidR="00903489" w:rsidRPr="00903489" w:rsidRDefault="00903489" w:rsidP="00903489">
            <w:pPr>
              <w:spacing w:after="0" w:line="240" w:lineRule="auto"/>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Rashodi poslovanja</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F105A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72969B"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08A854"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2E6746"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7.738,50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3CAA37" w14:textId="77777777" w:rsidR="00903489" w:rsidRPr="00903489" w:rsidRDefault="00903489" w:rsidP="00903489">
            <w:pPr>
              <w:spacing w:after="0" w:line="240" w:lineRule="auto"/>
              <w:jc w:val="right"/>
              <w:rPr>
                <w:rFonts w:ascii="Aptos Narrow" w:eastAsia="Aptos" w:hAnsi="Aptos Narrow" w:cs="Times New Roman"/>
                <w:b/>
                <w:bCs/>
                <w:color w:val="000000"/>
                <w:sz w:val="20"/>
                <w:szCs w:val="20"/>
              </w:rPr>
            </w:pPr>
            <w:r w:rsidRPr="00903489">
              <w:rPr>
                <w:rFonts w:ascii="Aptos Narrow" w:eastAsia="Aptos" w:hAnsi="Aptos Narrow" w:cs="Times New Roman"/>
                <w:b/>
                <w:bCs/>
                <w:color w:val="000000"/>
                <w:sz w:val="20"/>
                <w:szCs w:val="20"/>
              </w:rPr>
              <w:t>7.777,00</w:t>
            </w:r>
          </w:p>
        </w:tc>
      </w:tr>
      <w:tr w:rsidR="00903489" w:rsidRPr="00903489" w14:paraId="6BEA708E" w14:textId="77777777" w:rsidTr="005B5D4C">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263F25"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38</w:t>
            </w:r>
          </w:p>
        </w:tc>
        <w:tc>
          <w:tcPr>
            <w:tcW w:w="58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515DDC" w14:textId="77777777" w:rsidR="00903489" w:rsidRPr="00903489" w:rsidRDefault="00903489" w:rsidP="00903489">
            <w:pPr>
              <w:spacing w:after="0" w:line="240" w:lineRule="auto"/>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Rashodi za donacije, kazne, naknade šteta i kapitalne pomoći</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8A9EA8"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EF575C9"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B4894B"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7.700,00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03E406"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7.738,50</w:t>
            </w:r>
          </w:p>
        </w:tc>
        <w:tc>
          <w:tcPr>
            <w:tcW w:w="15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4FBBF4" w14:textId="77777777" w:rsidR="00903489" w:rsidRPr="00903489" w:rsidRDefault="00903489" w:rsidP="00903489">
            <w:pPr>
              <w:spacing w:after="0" w:line="240" w:lineRule="auto"/>
              <w:jc w:val="right"/>
              <w:rPr>
                <w:rFonts w:ascii="Aptos Narrow" w:eastAsia="Aptos" w:hAnsi="Aptos Narrow" w:cs="Times New Roman"/>
                <w:color w:val="000000"/>
                <w:sz w:val="18"/>
                <w:szCs w:val="18"/>
              </w:rPr>
            </w:pPr>
            <w:r w:rsidRPr="00903489">
              <w:rPr>
                <w:rFonts w:ascii="Aptos Narrow" w:eastAsia="Aptos" w:hAnsi="Aptos Narrow" w:cs="Times New Roman"/>
                <w:color w:val="000000"/>
                <w:sz w:val="18"/>
                <w:szCs w:val="18"/>
              </w:rPr>
              <w:t>7.777,00</w:t>
            </w:r>
          </w:p>
        </w:tc>
      </w:tr>
      <w:tr w:rsidR="00903489" w:rsidRPr="00903489" w14:paraId="2F26B888" w14:textId="77777777" w:rsidTr="005B5D4C">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BECED9A" w14:textId="77777777" w:rsidR="00903489" w:rsidRPr="00903489" w:rsidRDefault="00903489" w:rsidP="00903489">
            <w:pPr>
              <w:spacing w:after="0" w:line="240" w:lineRule="auto"/>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SVEUKUPNO</w:t>
            </w:r>
          </w:p>
        </w:tc>
        <w:tc>
          <w:tcPr>
            <w:tcW w:w="586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B63E3B7" w14:textId="77777777" w:rsidR="00903489" w:rsidRPr="00903489" w:rsidRDefault="00903489" w:rsidP="00903489">
            <w:pPr>
              <w:spacing w:after="0" w:line="240" w:lineRule="auto"/>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 </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223DB37" w14:textId="77777777" w:rsidR="00903489" w:rsidRPr="00903489" w:rsidRDefault="00903489" w:rsidP="00903489">
            <w:pPr>
              <w:spacing w:after="0" w:line="240" w:lineRule="auto"/>
              <w:jc w:val="right"/>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6.395.019,38</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49DB102" w14:textId="77777777" w:rsidR="00903489" w:rsidRPr="00903489" w:rsidRDefault="00903489" w:rsidP="00903489">
            <w:pPr>
              <w:spacing w:after="0" w:line="240" w:lineRule="auto"/>
              <w:jc w:val="right"/>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13.827.108,54</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09C8673" w14:textId="77777777" w:rsidR="00903489" w:rsidRPr="00903489" w:rsidRDefault="00903489" w:rsidP="00903489">
            <w:pPr>
              <w:spacing w:after="0" w:line="240" w:lineRule="auto"/>
              <w:jc w:val="right"/>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12.713.398,75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FDEB2C2" w14:textId="77777777" w:rsidR="00903489" w:rsidRPr="00903489" w:rsidRDefault="00903489" w:rsidP="00903489">
            <w:pPr>
              <w:spacing w:after="0" w:line="240" w:lineRule="auto"/>
              <w:jc w:val="right"/>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9.740.170,75</w:t>
            </w:r>
          </w:p>
        </w:tc>
        <w:tc>
          <w:tcPr>
            <w:tcW w:w="154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7D7C932A" w14:textId="77777777" w:rsidR="00903489" w:rsidRPr="00903489" w:rsidRDefault="00903489" w:rsidP="00903489">
            <w:pPr>
              <w:spacing w:after="0" w:line="240" w:lineRule="auto"/>
              <w:jc w:val="right"/>
              <w:rPr>
                <w:rFonts w:ascii="Aptos Narrow" w:eastAsia="Aptos" w:hAnsi="Aptos Narrow" w:cs="Times New Roman"/>
                <w:color w:val="000000"/>
                <w:sz w:val="24"/>
                <w:szCs w:val="24"/>
              </w:rPr>
            </w:pPr>
            <w:r w:rsidRPr="00903489">
              <w:rPr>
                <w:rFonts w:ascii="Aptos Narrow" w:eastAsia="Aptos" w:hAnsi="Aptos Narrow" w:cs="Times New Roman"/>
                <w:color w:val="000000"/>
                <w:sz w:val="24"/>
                <w:szCs w:val="24"/>
              </w:rPr>
              <w:t>9.393.269,65</w:t>
            </w:r>
          </w:p>
        </w:tc>
      </w:tr>
    </w:tbl>
    <w:p w14:paraId="7B82000F" w14:textId="77777777" w:rsidR="00903489" w:rsidRPr="00903489" w:rsidRDefault="00903489" w:rsidP="00903489">
      <w:pPr>
        <w:spacing w:after="0" w:line="240" w:lineRule="auto"/>
        <w:rPr>
          <w:rFonts w:ascii="Aptos" w:eastAsia="Aptos" w:hAnsi="Aptos" w:cs="Times New Roman"/>
          <w:sz w:val="24"/>
          <w:szCs w:val="24"/>
        </w:rPr>
      </w:pPr>
    </w:p>
    <w:p w14:paraId="25688127" w14:textId="3DBDBB94" w:rsidR="00D37DAA" w:rsidRDefault="00D37DAA">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72F18156" w14:textId="77777777" w:rsidR="007F1079" w:rsidRDefault="007F1079" w:rsidP="00D424F6">
      <w:pPr>
        <w:spacing w:after="200" w:line="276" w:lineRule="auto"/>
        <w:rPr>
          <w:rFonts w:ascii="Arial" w:eastAsia="Times New Roman" w:hAnsi="Arial" w:cs="Arial"/>
          <w:kern w:val="0"/>
          <w:sz w:val="24"/>
          <w:szCs w:val="24"/>
          <w:lang w:eastAsia="hr-HR"/>
          <w14:ligatures w14:val="none"/>
        </w:rPr>
        <w:sectPr w:rsidR="007F1079" w:rsidSect="005F3EBD">
          <w:pgSz w:w="16838" w:h="11906" w:orient="landscape"/>
          <w:pgMar w:top="567" w:right="851" w:bottom="567" w:left="851" w:header="709" w:footer="709" w:gutter="0"/>
          <w:cols w:space="708"/>
          <w:docGrid w:linePitch="360"/>
        </w:sectPr>
      </w:pPr>
    </w:p>
    <w:p w14:paraId="35FBB43B" w14:textId="375F9163" w:rsidR="007F1079" w:rsidRPr="007F1079" w:rsidRDefault="007F1079" w:rsidP="00C3122E">
      <w:pPr>
        <w:widowControl w:val="0"/>
        <w:tabs>
          <w:tab w:val="center" w:pos="5272"/>
        </w:tabs>
        <w:autoSpaceDE w:val="0"/>
        <w:autoSpaceDN w:val="0"/>
        <w:adjustRightInd w:val="0"/>
        <w:spacing w:before="1020" w:after="0" w:line="240" w:lineRule="auto"/>
        <w:jc w:val="center"/>
        <w:rPr>
          <w:rFonts w:ascii="Arial" w:eastAsia="Times New Roman" w:hAnsi="Arial" w:cs="Arial"/>
          <w:b/>
          <w:bCs/>
          <w:color w:val="000000"/>
          <w:kern w:val="0"/>
          <w:sz w:val="24"/>
          <w:szCs w:val="24"/>
          <w:lang w:eastAsia="hr-HR"/>
          <w14:ligatures w14:val="none"/>
        </w:rPr>
      </w:pPr>
      <w:r w:rsidRPr="007F1079">
        <w:rPr>
          <w:rFonts w:ascii="Arial" w:eastAsia="Times New Roman" w:hAnsi="Arial" w:cs="Arial"/>
          <w:b/>
          <w:bCs/>
          <w:color w:val="000000"/>
          <w:kern w:val="0"/>
          <w:sz w:val="24"/>
          <w:szCs w:val="24"/>
          <w:lang w:eastAsia="hr-HR"/>
          <w14:ligatures w14:val="none"/>
        </w:rPr>
        <w:lastRenderedPageBreak/>
        <w:t>Članak 4.</w:t>
      </w:r>
    </w:p>
    <w:p w14:paraId="143E1C2B" w14:textId="77777777" w:rsidR="007F1079" w:rsidRPr="007F1079" w:rsidRDefault="007F1079" w:rsidP="007F1079">
      <w:pPr>
        <w:widowControl w:val="0"/>
        <w:tabs>
          <w:tab w:val="center" w:pos="5272"/>
        </w:tabs>
        <w:autoSpaceDE w:val="0"/>
        <w:autoSpaceDN w:val="0"/>
        <w:adjustRightInd w:val="0"/>
        <w:spacing w:before="1020" w:after="0" w:line="240" w:lineRule="auto"/>
        <w:rPr>
          <w:rFonts w:ascii="Arial" w:eastAsia="Times New Roman" w:hAnsi="Arial" w:cs="Arial"/>
          <w:b/>
          <w:bCs/>
          <w:color w:val="000000"/>
          <w:kern w:val="0"/>
          <w:sz w:val="24"/>
          <w:szCs w:val="24"/>
          <w:lang w:eastAsia="hr-HR"/>
          <w14:ligatures w14:val="none"/>
        </w:rPr>
      </w:pPr>
      <w:r w:rsidRPr="007F1079">
        <w:rPr>
          <w:rFonts w:ascii="Arial" w:eastAsia="Times New Roman" w:hAnsi="Arial" w:cs="Arial"/>
          <w:b/>
          <w:bCs/>
          <w:color w:val="000000"/>
          <w:kern w:val="0"/>
          <w:sz w:val="24"/>
          <w:szCs w:val="24"/>
          <w:lang w:eastAsia="hr-HR"/>
          <w14:ligatures w14:val="none"/>
        </w:rPr>
        <w:t xml:space="preserve">                                                                    </w:t>
      </w:r>
    </w:p>
    <w:p w14:paraId="2DCB6434" w14:textId="77777777" w:rsidR="007F1079" w:rsidRPr="007F1079" w:rsidRDefault="007F1079" w:rsidP="00C3122E">
      <w:pPr>
        <w:widowControl w:val="0"/>
        <w:tabs>
          <w:tab w:val="left" w:pos="90"/>
        </w:tabs>
        <w:autoSpaceDE w:val="0"/>
        <w:autoSpaceDN w:val="0"/>
        <w:adjustRightInd w:val="0"/>
        <w:spacing w:before="14" w:after="0" w:line="240" w:lineRule="auto"/>
        <w:jc w:val="both"/>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Ovaj Proračun stupa na snagu osmog dana nakon dana objave  u "Službenom glasniku Grada Donjeg Miholjca", a primjenjuje se od 01. siječnja 2026. godine.</w:t>
      </w:r>
    </w:p>
    <w:p w14:paraId="6ECFFCC6" w14:textId="77777777" w:rsidR="007F1079" w:rsidRPr="007F1079" w:rsidRDefault="007F1079" w:rsidP="007F1079">
      <w:pPr>
        <w:widowControl w:val="0"/>
        <w:tabs>
          <w:tab w:val="left" w:pos="90"/>
        </w:tabs>
        <w:autoSpaceDE w:val="0"/>
        <w:autoSpaceDN w:val="0"/>
        <w:adjustRightInd w:val="0"/>
        <w:spacing w:before="14" w:after="0" w:line="240" w:lineRule="auto"/>
        <w:rPr>
          <w:rFonts w:ascii="Arial" w:eastAsia="Times New Roman" w:hAnsi="Arial" w:cs="Arial"/>
          <w:color w:val="000000"/>
          <w:kern w:val="0"/>
          <w:sz w:val="24"/>
          <w:szCs w:val="24"/>
          <w:lang w:eastAsia="hr-HR"/>
          <w14:ligatures w14:val="none"/>
        </w:rPr>
      </w:pPr>
    </w:p>
    <w:p w14:paraId="3C21289F" w14:textId="77777777" w:rsidR="007F1079" w:rsidRPr="007F1079" w:rsidRDefault="007F1079" w:rsidP="007F1079">
      <w:pPr>
        <w:widowControl w:val="0"/>
        <w:tabs>
          <w:tab w:val="left" w:pos="90"/>
        </w:tabs>
        <w:autoSpaceDE w:val="0"/>
        <w:autoSpaceDN w:val="0"/>
        <w:adjustRightInd w:val="0"/>
        <w:spacing w:before="574" w:after="0" w:line="240" w:lineRule="auto"/>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KLASA: 400-02/25-01/2</w:t>
      </w:r>
    </w:p>
    <w:p w14:paraId="5F203CCB" w14:textId="4729F0A6" w:rsidR="007F1079" w:rsidRPr="007F1079" w:rsidRDefault="007F1079" w:rsidP="007F1079">
      <w:pPr>
        <w:widowControl w:val="0"/>
        <w:tabs>
          <w:tab w:val="left" w:pos="90"/>
        </w:tabs>
        <w:autoSpaceDE w:val="0"/>
        <w:autoSpaceDN w:val="0"/>
        <w:adjustRightInd w:val="0"/>
        <w:spacing w:before="31" w:after="0" w:line="240" w:lineRule="auto"/>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URBROJ: 2158-5-01-25-</w:t>
      </w:r>
      <w:r w:rsidR="00D82C3C">
        <w:rPr>
          <w:rFonts w:ascii="Arial" w:eastAsia="Times New Roman" w:hAnsi="Arial" w:cs="Arial"/>
          <w:color w:val="000000"/>
          <w:kern w:val="0"/>
          <w:sz w:val="24"/>
          <w:szCs w:val="24"/>
          <w:lang w:eastAsia="hr-HR"/>
          <w14:ligatures w14:val="none"/>
        </w:rPr>
        <w:t>8</w:t>
      </w:r>
    </w:p>
    <w:p w14:paraId="72C91A33" w14:textId="36C53909" w:rsidR="007F1079" w:rsidRPr="007F1079" w:rsidRDefault="007F1079" w:rsidP="007F1079">
      <w:pPr>
        <w:widowControl w:val="0"/>
        <w:tabs>
          <w:tab w:val="left" w:pos="90"/>
        </w:tabs>
        <w:autoSpaceDE w:val="0"/>
        <w:autoSpaceDN w:val="0"/>
        <w:adjustRightInd w:val="0"/>
        <w:spacing w:before="31" w:after="0" w:line="240" w:lineRule="auto"/>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 xml:space="preserve">U Donjem Miholjcu, </w:t>
      </w:r>
      <w:r w:rsidR="0021297B">
        <w:rPr>
          <w:rFonts w:ascii="Arial" w:eastAsia="Times New Roman" w:hAnsi="Arial" w:cs="Arial"/>
          <w:color w:val="000000"/>
          <w:kern w:val="0"/>
          <w:sz w:val="24"/>
          <w:szCs w:val="24"/>
          <w:lang w:eastAsia="hr-HR"/>
          <w14:ligatures w14:val="none"/>
        </w:rPr>
        <w:t>22. prosinca</w:t>
      </w:r>
      <w:r w:rsidRPr="007F1079">
        <w:rPr>
          <w:rFonts w:ascii="Arial" w:eastAsia="Times New Roman" w:hAnsi="Arial" w:cs="Arial"/>
          <w:color w:val="000000"/>
          <w:kern w:val="0"/>
          <w:sz w:val="24"/>
          <w:szCs w:val="24"/>
          <w:lang w:eastAsia="hr-HR"/>
          <w14:ligatures w14:val="none"/>
        </w:rPr>
        <w:t xml:space="preserve"> 2025.g.</w:t>
      </w:r>
    </w:p>
    <w:p w14:paraId="27FF0A4B" w14:textId="77777777" w:rsidR="007F1079" w:rsidRPr="007F1079" w:rsidRDefault="007F1079" w:rsidP="007F1079">
      <w:pPr>
        <w:widowControl w:val="0"/>
        <w:tabs>
          <w:tab w:val="center" w:pos="6663"/>
        </w:tabs>
        <w:autoSpaceDE w:val="0"/>
        <w:autoSpaceDN w:val="0"/>
        <w:adjustRightInd w:val="0"/>
        <w:spacing w:before="202" w:after="0" w:line="240" w:lineRule="auto"/>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ab/>
      </w:r>
    </w:p>
    <w:p w14:paraId="7E3AAB25" w14:textId="4D9E3934" w:rsidR="007F1079" w:rsidRPr="007F1079" w:rsidRDefault="007F1079" w:rsidP="00C3122E">
      <w:pPr>
        <w:widowControl w:val="0"/>
        <w:tabs>
          <w:tab w:val="center" w:pos="6663"/>
        </w:tabs>
        <w:autoSpaceDE w:val="0"/>
        <w:autoSpaceDN w:val="0"/>
        <w:adjustRightInd w:val="0"/>
        <w:spacing w:before="202" w:after="0" w:line="240" w:lineRule="auto"/>
        <w:ind w:firstLine="5103"/>
        <w:jc w:val="center"/>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PREDSJEDNIK GRADSKOG VIJEĆA:</w:t>
      </w:r>
    </w:p>
    <w:p w14:paraId="2BC4AAB8" w14:textId="4447B9DE" w:rsidR="007F1079" w:rsidRPr="007F1079" w:rsidRDefault="007F1079" w:rsidP="00C3122E">
      <w:pPr>
        <w:widowControl w:val="0"/>
        <w:tabs>
          <w:tab w:val="center" w:pos="6663"/>
        </w:tabs>
        <w:autoSpaceDE w:val="0"/>
        <w:autoSpaceDN w:val="0"/>
        <w:adjustRightInd w:val="0"/>
        <w:spacing w:after="0" w:line="240" w:lineRule="auto"/>
        <w:ind w:firstLine="5103"/>
        <w:jc w:val="center"/>
        <w:rPr>
          <w:rFonts w:ascii="Arial" w:eastAsia="Times New Roman" w:hAnsi="Arial" w:cs="Arial"/>
          <w:color w:val="000000"/>
          <w:kern w:val="0"/>
          <w:sz w:val="24"/>
          <w:szCs w:val="24"/>
          <w:lang w:eastAsia="hr-HR"/>
          <w14:ligatures w14:val="none"/>
        </w:rPr>
      </w:pPr>
      <w:r w:rsidRPr="007F1079">
        <w:rPr>
          <w:rFonts w:ascii="Arial" w:eastAsia="Times New Roman" w:hAnsi="Arial" w:cs="Arial"/>
          <w:color w:val="000000"/>
          <w:kern w:val="0"/>
          <w:sz w:val="24"/>
          <w:szCs w:val="24"/>
          <w:lang w:eastAsia="hr-HR"/>
          <w14:ligatures w14:val="none"/>
        </w:rPr>
        <w:t>Petar Dobi, mag.ing.silv.</w:t>
      </w:r>
      <w:r w:rsidR="0021297B">
        <w:rPr>
          <w:rFonts w:ascii="Arial" w:eastAsia="Times New Roman" w:hAnsi="Arial" w:cs="Arial"/>
          <w:color w:val="000000"/>
          <w:kern w:val="0"/>
          <w:sz w:val="24"/>
          <w:szCs w:val="24"/>
          <w:lang w:eastAsia="hr-HR"/>
          <w14:ligatures w14:val="none"/>
        </w:rPr>
        <w:t>,v.r.</w:t>
      </w:r>
    </w:p>
    <w:p w14:paraId="32D62D7C" w14:textId="77777777" w:rsidR="007F1079" w:rsidRPr="007F1079" w:rsidRDefault="007F1079" w:rsidP="007F1079">
      <w:pPr>
        <w:widowControl w:val="0"/>
        <w:tabs>
          <w:tab w:val="left" w:pos="90"/>
        </w:tabs>
        <w:autoSpaceDE w:val="0"/>
        <w:autoSpaceDN w:val="0"/>
        <w:adjustRightInd w:val="0"/>
        <w:spacing w:after="0" w:line="240" w:lineRule="auto"/>
        <w:rPr>
          <w:rFonts w:ascii="Arial" w:eastAsia="Times New Roman" w:hAnsi="Arial" w:cs="Arial"/>
          <w:color w:val="000000"/>
          <w:kern w:val="0"/>
          <w:sz w:val="24"/>
          <w:szCs w:val="24"/>
          <w:lang w:eastAsia="hr-HR"/>
          <w14:ligatures w14:val="none"/>
        </w:rPr>
      </w:pPr>
    </w:p>
    <w:p w14:paraId="5D9BC350" w14:textId="77777777" w:rsidR="007F1079" w:rsidRPr="007F1079" w:rsidRDefault="007F1079" w:rsidP="007F1079">
      <w:pPr>
        <w:widowControl w:val="0"/>
        <w:tabs>
          <w:tab w:val="left" w:pos="90"/>
        </w:tabs>
        <w:autoSpaceDE w:val="0"/>
        <w:autoSpaceDN w:val="0"/>
        <w:adjustRightInd w:val="0"/>
        <w:spacing w:after="0" w:line="240" w:lineRule="auto"/>
        <w:rPr>
          <w:rFonts w:ascii="Arial" w:eastAsia="Times New Roman" w:hAnsi="Arial" w:cs="Arial"/>
          <w:color w:val="000000"/>
          <w:kern w:val="0"/>
          <w:sz w:val="24"/>
          <w:szCs w:val="24"/>
          <w:lang w:eastAsia="hr-HR"/>
          <w14:ligatures w14:val="none"/>
        </w:rPr>
      </w:pPr>
    </w:p>
    <w:p w14:paraId="3BA0C907" w14:textId="77777777" w:rsidR="007F1079" w:rsidRPr="007F1079" w:rsidRDefault="007F1079" w:rsidP="007F1079">
      <w:pPr>
        <w:widowControl w:val="0"/>
        <w:tabs>
          <w:tab w:val="left" w:pos="90"/>
        </w:tabs>
        <w:autoSpaceDE w:val="0"/>
        <w:autoSpaceDN w:val="0"/>
        <w:adjustRightInd w:val="0"/>
        <w:spacing w:after="0" w:line="240" w:lineRule="auto"/>
        <w:rPr>
          <w:rFonts w:ascii="Arial" w:eastAsia="Times New Roman" w:hAnsi="Arial" w:cs="Arial"/>
          <w:color w:val="000000"/>
          <w:kern w:val="0"/>
          <w:sz w:val="24"/>
          <w:szCs w:val="24"/>
          <w:lang w:eastAsia="hr-HR"/>
          <w14:ligatures w14:val="none"/>
        </w:rPr>
      </w:pPr>
    </w:p>
    <w:p w14:paraId="224CD9C7" w14:textId="77777777" w:rsidR="007F1079" w:rsidRPr="007F1079" w:rsidRDefault="007F1079" w:rsidP="007F1079">
      <w:pPr>
        <w:widowControl w:val="0"/>
        <w:tabs>
          <w:tab w:val="left" w:pos="90"/>
        </w:tabs>
        <w:autoSpaceDE w:val="0"/>
        <w:autoSpaceDN w:val="0"/>
        <w:adjustRightInd w:val="0"/>
        <w:spacing w:after="0" w:line="240" w:lineRule="auto"/>
        <w:rPr>
          <w:rFonts w:ascii="Arial" w:eastAsia="Times New Roman" w:hAnsi="Arial" w:cs="Arial"/>
          <w:color w:val="000000"/>
          <w:kern w:val="0"/>
          <w:sz w:val="24"/>
          <w:szCs w:val="24"/>
          <w:lang w:eastAsia="hr-HR"/>
          <w14:ligatures w14:val="none"/>
        </w:rPr>
      </w:pPr>
    </w:p>
    <w:p w14:paraId="1D8D2010" w14:textId="77777777" w:rsidR="007F1079" w:rsidRPr="007F1079" w:rsidRDefault="007F1079" w:rsidP="007F1079">
      <w:pPr>
        <w:widowControl w:val="0"/>
        <w:tabs>
          <w:tab w:val="left" w:pos="90"/>
        </w:tabs>
        <w:autoSpaceDE w:val="0"/>
        <w:autoSpaceDN w:val="0"/>
        <w:adjustRightInd w:val="0"/>
        <w:spacing w:before="14" w:after="0" w:line="240" w:lineRule="auto"/>
        <w:rPr>
          <w:rFonts w:ascii="Arial" w:eastAsia="Times New Roman" w:hAnsi="Arial" w:cs="Arial"/>
          <w:color w:val="000000"/>
          <w:kern w:val="0"/>
          <w:sz w:val="24"/>
          <w:szCs w:val="24"/>
          <w:lang w:eastAsia="hr-HR"/>
          <w14:ligatures w14:val="none"/>
        </w:rPr>
      </w:pPr>
    </w:p>
    <w:p w14:paraId="32D1F58F" w14:textId="77777777" w:rsidR="00D424F6" w:rsidRPr="00D424F6" w:rsidRDefault="00D424F6" w:rsidP="00D424F6">
      <w:pPr>
        <w:spacing w:after="200" w:line="276" w:lineRule="auto"/>
        <w:rPr>
          <w:rFonts w:ascii="Arial" w:eastAsia="Times New Roman" w:hAnsi="Arial" w:cs="Arial"/>
          <w:kern w:val="0"/>
          <w:sz w:val="24"/>
          <w:szCs w:val="24"/>
          <w:lang w:eastAsia="hr-HR"/>
          <w14:ligatures w14:val="none"/>
        </w:rPr>
      </w:pPr>
    </w:p>
    <w:p w14:paraId="4B52E7F8" w14:textId="77777777" w:rsidR="00D424F6" w:rsidRPr="00D424F6" w:rsidRDefault="00D424F6" w:rsidP="00D424F6">
      <w:pPr>
        <w:widowControl w:val="0"/>
        <w:tabs>
          <w:tab w:val="center" w:pos="5272"/>
        </w:tabs>
        <w:autoSpaceDE w:val="0"/>
        <w:autoSpaceDN w:val="0"/>
        <w:adjustRightInd w:val="0"/>
        <w:spacing w:before="114" w:after="0" w:line="240" w:lineRule="auto"/>
        <w:rPr>
          <w:rFonts w:ascii="Tahoma" w:eastAsia="Times New Roman" w:hAnsi="Tahoma" w:cs="Tahoma"/>
          <w:b/>
          <w:bCs/>
          <w:color w:val="000000"/>
          <w:kern w:val="0"/>
          <w:lang w:eastAsia="hr-HR"/>
          <w14:ligatures w14:val="none"/>
        </w:rPr>
      </w:pPr>
    </w:p>
    <w:p w14:paraId="13AF2DD0" w14:textId="7EF87A98" w:rsidR="00B01C29" w:rsidRDefault="00B01C29">
      <w:pPr>
        <w:rPr>
          <w:rFonts w:ascii="Arial" w:hAnsi="Arial" w:cs="Arial"/>
          <w:sz w:val="24"/>
          <w:szCs w:val="24"/>
        </w:rPr>
        <w:sectPr w:rsidR="00B01C29" w:rsidSect="007F1079">
          <w:pgSz w:w="11906" w:h="16838"/>
          <w:pgMar w:top="851" w:right="567" w:bottom="851" w:left="567" w:header="709" w:footer="709" w:gutter="0"/>
          <w:cols w:space="708"/>
          <w:docGrid w:linePitch="360"/>
        </w:sectPr>
      </w:pPr>
    </w:p>
    <w:p w14:paraId="1836165D"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6E04A7DA"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4ABB0B7E"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04B4C7A7"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265C1435"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357FF41F"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08C50BF4"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0A683615"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5AEF7E12"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30C46C74" w14:textId="65E16548" w:rsidR="00C41768" w:rsidRPr="00C41768" w:rsidRDefault="00C41768" w:rsidP="00C41768">
      <w:pPr>
        <w:spacing w:after="0" w:line="240" w:lineRule="auto"/>
        <w:jc w:val="right"/>
        <w:rPr>
          <w:rFonts w:ascii="Arial" w:eastAsia="Times New Roman" w:hAnsi="Arial" w:cs="Arial"/>
          <w:kern w:val="0"/>
          <w:sz w:val="24"/>
          <w:szCs w:val="24"/>
          <w:lang w:eastAsia="hr-HR"/>
          <w14:ligatures w14:val="none"/>
        </w:rPr>
      </w:pPr>
    </w:p>
    <w:p w14:paraId="7A8177E7"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53E1C9FC"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180EA623"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05083B2D"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27D2D224"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5DD469AC" w14:textId="38B4E795" w:rsidR="00C41768" w:rsidRPr="00C41768" w:rsidRDefault="00C41768" w:rsidP="00D82C3C">
      <w:pPr>
        <w:spacing w:after="0" w:line="240" w:lineRule="auto"/>
        <w:jc w:val="center"/>
        <w:rPr>
          <w:rFonts w:ascii="Arial" w:eastAsia="Times New Roman" w:hAnsi="Arial" w:cs="Arial"/>
          <w:b/>
          <w:kern w:val="0"/>
          <w:sz w:val="52"/>
          <w:szCs w:val="52"/>
          <w:lang w:eastAsia="hr-HR"/>
          <w14:ligatures w14:val="none"/>
        </w:rPr>
      </w:pPr>
      <w:r w:rsidRPr="00C41768">
        <w:rPr>
          <w:rFonts w:ascii="Arial" w:eastAsia="Times New Roman" w:hAnsi="Arial" w:cs="Arial"/>
          <w:b/>
          <w:kern w:val="0"/>
          <w:sz w:val="52"/>
          <w:szCs w:val="52"/>
          <w:lang w:eastAsia="hr-HR"/>
          <w14:ligatures w14:val="none"/>
        </w:rPr>
        <w:t>OBRAZLOŽENJE</w:t>
      </w:r>
    </w:p>
    <w:p w14:paraId="38E6C6F9" w14:textId="77777777" w:rsidR="00C41768" w:rsidRPr="00C41768" w:rsidRDefault="00C41768" w:rsidP="00D82C3C">
      <w:pPr>
        <w:spacing w:after="0" w:line="240" w:lineRule="auto"/>
        <w:jc w:val="center"/>
        <w:rPr>
          <w:rFonts w:ascii="Arial" w:eastAsia="Times New Roman" w:hAnsi="Arial" w:cs="Arial"/>
          <w:b/>
          <w:kern w:val="0"/>
          <w:sz w:val="52"/>
          <w:szCs w:val="52"/>
          <w:lang w:eastAsia="hr-HR"/>
          <w14:ligatures w14:val="none"/>
        </w:rPr>
      </w:pPr>
    </w:p>
    <w:p w14:paraId="086C0FFC" w14:textId="77777777" w:rsidR="00C41768" w:rsidRPr="00C41768" w:rsidRDefault="00C41768" w:rsidP="00D82C3C">
      <w:pPr>
        <w:spacing w:after="0" w:line="240" w:lineRule="auto"/>
        <w:jc w:val="center"/>
        <w:rPr>
          <w:rFonts w:ascii="Arial" w:eastAsia="Times New Roman" w:hAnsi="Arial" w:cs="Arial"/>
          <w:b/>
          <w:kern w:val="0"/>
          <w:sz w:val="52"/>
          <w:szCs w:val="52"/>
          <w:lang w:eastAsia="hr-HR"/>
          <w14:ligatures w14:val="none"/>
        </w:rPr>
      </w:pPr>
    </w:p>
    <w:p w14:paraId="34ADDBA3" w14:textId="77777777" w:rsidR="00C41768" w:rsidRPr="00C41768" w:rsidRDefault="00C41768" w:rsidP="00D82C3C">
      <w:pPr>
        <w:spacing w:after="0" w:line="240" w:lineRule="auto"/>
        <w:jc w:val="center"/>
        <w:rPr>
          <w:rFonts w:ascii="Arial" w:eastAsia="Times New Roman" w:hAnsi="Arial" w:cs="Arial"/>
          <w:b/>
          <w:kern w:val="0"/>
          <w:sz w:val="28"/>
          <w:szCs w:val="28"/>
          <w:lang w:eastAsia="hr-HR"/>
          <w14:ligatures w14:val="none"/>
        </w:rPr>
      </w:pPr>
    </w:p>
    <w:p w14:paraId="0CCFD2AF" w14:textId="1A3F162B" w:rsidR="00C41768" w:rsidRPr="00C41768" w:rsidRDefault="00C41768" w:rsidP="00D82C3C">
      <w:pPr>
        <w:spacing w:after="0" w:line="240" w:lineRule="auto"/>
        <w:jc w:val="center"/>
        <w:rPr>
          <w:rFonts w:ascii="Arial" w:eastAsia="Times New Roman" w:hAnsi="Arial" w:cs="Arial"/>
          <w:b/>
          <w:kern w:val="0"/>
          <w:sz w:val="28"/>
          <w:szCs w:val="28"/>
          <w:lang w:eastAsia="hr-HR"/>
          <w14:ligatures w14:val="none"/>
        </w:rPr>
      </w:pPr>
      <w:r w:rsidRPr="00C41768">
        <w:rPr>
          <w:rFonts w:ascii="Arial" w:eastAsia="Times New Roman" w:hAnsi="Arial" w:cs="Arial"/>
          <w:b/>
          <w:kern w:val="0"/>
          <w:sz w:val="28"/>
          <w:szCs w:val="28"/>
          <w:lang w:eastAsia="hr-HR"/>
          <w14:ligatures w14:val="none"/>
        </w:rPr>
        <w:t>UZ  PLAN PRORAČUNA</w:t>
      </w:r>
    </w:p>
    <w:p w14:paraId="1BD24E94" w14:textId="77777777" w:rsidR="00C41768" w:rsidRPr="00C41768" w:rsidRDefault="00C41768" w:rsidP="00D82C3C">
      <w:pPr>
        <w:spacing w:after="0" w:line="240" w:lineRule="auto"/>
        <w:jc w:val="center"/>
        <w:rPr>
          <w:rFonts w:ascii="Arial" w:eastAsia="Times New Roman" w:hAnsi="Arial" w:cs="Arial"/>
          <w:b/>
          <w:kern w:val="0"/>
          <w:sz w:val="28"/>
          <w:szCs w:val="28"/>
          <w:lang w:eastAsia="hr-HR"/>
          <w14:ligatures w14:val="none"/>
        </w:rPr>
      </w:pPr>
    </w:p>
    <w:p w14:paraId="6E1D56C9" w14:textId="014238AE" w:rsidR="00C41768" w:rsidRPr="00C41768" w:rsidRDefault="00C41768" w:rsidP="00D82C3C">
      <w:pPr>
        <w:spacing w:after="0" w:line="240" w:lineRule="auto"/>
        <w:jc w:val="center"/>
        <w:rPr>
          <w:rFonts w:ascii="Arial" w:eastAsia="Times New Roman" w:hAnsi="Arial" w:cs="Arial"/>
          <w:b/>
          <w:kern w:val="0"/>
          <w:sz w:val="28"/>
          <w:szCs w:val="28"/>
          <w:lang w:eastAsia="hr-HR"/>
          <w14:ligatures w14:val="none"/>
        </w:rPr>
      </w:pPr>
      <w:r w:rsidRPr="00C41768">
        <w:rPr>
          <w:rFonts w:ascii="Arial" w:eastAsia="Times New Roman" w:hAnsi="Arial" w:cs="Arial"/>
          <w:b/>
          <w:kern w:val="0"/>
          <w:sz w:val="28"/>
          <w:szCs w:val="28"/>
          <w:lang w:eastAsia="hr-HR"/>
          <w14:ligatures w14:val="none"/>
        </w:rPr>
        <w:t>GRADA DONJEG MIHOLJCA ZA 2026. GODINU</w:t>
      </w:r>
    </w:p>
    <w:p w14:paraId="769740BF" w14:textId="64852282" w:rsidR="00C41768" w:rsidRPr="00C41768" w:rsidRDefault="00C41768" w:rsidP="00D82C3C">
      <w:pPr>
        <w:spacing w:after="0" w:line="240" w:lineRule="auto"/>
        <w:jc w:val="center"/>
        <w:rPr>
          <w:rFonts w:ascii="Arial" w:eastAsia="Times New Roman" w:hAnsi="Arial" w:cs="Arial"/>
          <w:b/>
          <w:kern w:val="0"/>
          <w:sz w:val="28"/>
          <w:szCs w:val="28"/>
          <w:lang w:eastAsia="hr-HR"/>
          <w14:ligatures w14:val="none"/>
        </w:rPr>
      </w:pPr>
    </w:p>
    <w:p w14:paraId="239BD69A" w14:textId="6289B103" w:rsidR="00C41768" w:rsidRPr="00C41768" w:rsidRDefault="00C41768" w:rsidP="00D82C3C">
      <w:pPr>
        <w:spacing w:after="0" w:line="240" w:lineRule="auto"/>
        <w:jc w:val="center"/>
        <w:rPr>
          <w:rFonts w:ascii="Arial" w:eastAsia="Times New Roman" w:hAnsi="Arial" w:cs="Arial"/>
          <w:b/>
          <w:kern w:val="0"/>
          <w:sz w:val="28"/>
          <w:szCs w:val="28"/>
          <w:lang w:eastAsia="hr-HR"/>
          <w14:ligatures w14:val="none"/>
        </w:rPr>
      </w:pPr>
      <w:r w:rsidRPr="00C41768">
        <w:rPr>
          <w:rFonts w:ascii="Arial" w:eastAsia="Times New Roman" w:hAnsi="Arial" w:cs="Arial"/>
          <w:b/>
          <w:kern w:val="0"/>
          <w:sz w:val="28"/>
          <w:szCs w:val="28"/>
          <w:lang w:eastAsia="hr-HR"/>
          <w14:ligatures w14:val="none"/>
        </w:rPr>
        <w:t>I PROJEKCIJA ZA 2027.  I  2028.  GODINU</w:t>
      </w:r>
    </w:p>
    <w:p w14:paraId="2C84851F" w14:textId="77777777" w:rsidR="00C41768" w:rsidRPr="00C41768" w:rsidRDefault="00C41768" w:rsidP="00D82C3C">
      <w:pPr>
        <w:spacing w:after="0" w:line="240" w:lineRule="auto"/>
        <w:jc w:val="center"/>
        <w:rPr>
          <w:rFonts w:ascii="Arial" w:eastAsia="Times New Roman" w:hAnsi="Arial" w:cs="Arial"/>
          <w:b/>
          <w:kern w:val="0"/>
          <w:sz w:val="24"/>
          <w:szCs w:val="24"/>
          <w:lang w:eastAsia="hr-HR"/>
          <w14:ligatures w14:val="none"/>
        </w:rPr>
      </w:pPr>
    </w:p>
    <w:p w14:paraId="72F3D26C" w14:textId="77777777" w:rsidR="00C41768" w:rsidRPr="00C41768" w:rsidRDefault="00C41768" w:rsidP="00D82C3C">
      <w:pPr>
        <w:spacing w:after="0" w:line="240" w:lineRule="auto"/>
        <w:jc w:val="center"/>
        <w:rPr>
          <w:rFonts w:ascii="Arial" w:eastAsia="Times New Roman" w:hAnsi="Arial" w:cs="Arial"/>
          <w:b/>
          <w:kern w:val="0"/>
          <w:sz w:val="24"/>
          <w:szCs w:val="24"/>
          <w:lang w:eastAsia="hr-HR"/>
          <w14:ligatures w14:val="none"/>
        </w:rPr>
      </w:pPr>
    </w:p>
    <w:p w14:paraId="0EDC631D" w14:textId="77777777" w:rsidR="00C41768" w:rsidRPr="00C41768" w:rsidRDefault="00C41768" w:rsidP="00C41768">
      <w:pPr>
        <w:spacing w:after="0" w:line="240" w:lineRule="auto"/>
        <w:rPr>
          <w:rFonts w:ascii="Arial" w:eastAsia="Times New Roman" w:hAnsi="Arial" w:cs="Arial"/>
          <w:b/>
          <w:kern w:val="0"/>
          <w:sz w:val="24"/>
          <w:szCs w:val="24"/>
          <w:lang w:eastAsia="hr-HR"/>
          <w14:ligatures w14:val="none"/>
        </w:rPr>
      </w:pPr>
    </w:p>
    <w:p w14:paraId="37D2F5F9"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33333244"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4E1C2841"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29411F61"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425D96F1"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1B747910"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5E5528A9"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0405D109"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6E31007C"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68EC9A6B"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57ECE0FF"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35808695"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1EB7C3D8"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0AE0F469"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730D29CC"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5B096627" w14:textId="417AC2F9" w:rsidR="007A17BA" w:rsidRDefault="007A17BA">
      <w:pPr>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br w:type="page"/>
      </w:r>
    </w:p>
    <w:p w14:paraId="1D96935D"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p>
    <w:p w14:paraId="12A0C781" w14:textId="77777777" w:rsidR="00C41768" w:rsidRPr="00C41768" w:rsidRDefault="00C41768" w:rsidP="00C41768">
      <w:pPr>
        <w:spacing w:after="0" w:line="240" w:lineRule="auto"/>
        <w:rPr>
          <w:rFonts w:ascii="Arial" w:eastAsia="Times New Roman" w:hAnsi="Arial" w:cs="Arial"/>
          <w:b/>
          <w:kern w:val="0"/>
          <w:sz w:val="28"/>
          <w:szCs w:val="28"/>
          <w:lang w:eastAsia="hr-HR"/>
          <w14:ligatures w14:val="none"/>
        </w:rPr>
      </w:pPr>
      <w:r w:rsidRPr="00C41768">
        <w:rPr>
          <w:rFonts w:ascii="Arial" w:eastAsia="Times New Roman" w:hAnsi="Arial" w:cs="Arial"/>
          <w:b/>
          <w:kern w:val="0"/>
          <w:sz w:val="28"/>
          <w:szCs w:val="28"/>
          <w:lang w:eastAsia="hr-HR"/>
          <w14:ligatures w14:val="none"/>
        </w:rPr>
        <w:t xml:space="preserve">         OPĆE NAPOMENE</w:t>
      </w:r>
    </w:p>
    <w:p w14:paraId="3D125177" w14:textId="77777777" w:rsidR="00C41768" w:rsidRPr="00C41768" w:rsidRDefault="00C41768" w:rsidP="00C41768">
      <w:pPr>
        <w:spacing w:after="0" w:line="240" w:lineRule="auto"/>
        <w:rPr>
          <w:rFonts w:ascii="Arial" w:eastAsia="Times New Roman" w:hAnsi="Arial" w:cs="Arial"/>
          <w:b/>
          <w:kern w:val="0"/>
          <w:sz w:val="24"/>
          <w:szCs w:val="24"/>
          <w:lang w:eastAsia="hr-HR"/>
          <w14:ligatures w14:val="none"/>
        </w:rPr>
      </w:pPr>
    </w:p>
    <w:p w14:paraId="02CC2584" w14:textId="77777777" w:rsidR="00C41768" w:rsidRPr="00C41768" w:rsidRDefault="00C41768" w:rsidP="00C41768">
      <w:pPr>
        <w:spacing w:after="0" w:line="240" w:lineRule="auto"/>
        <w:rPr>
          <w:rFonts w:ascii="Arial" w:eastAsia="Times New Roman" w:hAnsi="Arial" w:cs="Arial"/>
          <w:kern w:val="0"/>
          <w:sz w:val="24"/>
          <w:szCs w:val="24"/>
          <w:lang w:eastAsia="hr-HR"/>
          <w14:ligatures w14:val="none"/>
        </w:rPr>
      </w:pPr>
      <w:r w:rsidRPr="00C41768">
        <w:rPr>
          <w:rFonts w:ascii="Arial" w:eastAsia="Times New Roman" w:hAnsi="Arial" w:cs="Arial"/>
          <w:b/>
          <w:kern w:val="0"/>
          <w:sz w:val="24"/>
          <w:szCs w:val="24"/>
          <w:lang w:eastAsia="hr-HR"/>
          <w14:ligatures w14:val="none"/>
        </w:rPr>
        <w:tab/>
      </w:r>
    </w:p>
    <w:p w14:paraId="6CC7DFEA"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ab/>
        <w:t xml:space="preserve">Proračun jedinica lokalne i područne (regionalne) samouprave je temeljni akt, odnosno najvažniji dokument kojim se procjenjuju prihodi/primici te utvrđuju rashodi/izdaci za jednu godinu. </w:t>
      </w:r>
    </w:p>
    <w:p w14:paraId="4AE5FF3B"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On omogućuje financiranje poslova i programa koje izvršavaju upravna tijela jedinice lokalne samouprave radi ostvarivanja javnih potreba i prava građana koja se, temeljem zakonskih propisa, financiraju iz javnih prihoda.</w:t>
      </w:r>
    </w:p>
    <w:p w14:paraId="747D688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Temelj za izradu Proračuna Grada Donjeg Miholjca je Zakon o proračunu ("Narodne novine" br. 144/21), Pravilnik o planiranju u sustavu proračuna ("Narodne novine" br. 1/24), Zakon o financiranju jedinica lokalne i područne (regionalne) samouprave ("Narodne novine" br. 127/17 i 138/20, 151/22 114/23.) te ostali propisi koji reguliraju pojedine segmente djelatnosti jedinica lokalne i područne (regionalne) samouprave.</w:t>
      </w:r>
    </w:p>
    <w:p w14:paraId="0A1EF030"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Proračun mora biti uravnotežen – ukupni prihodi i primici pokrivaju ukupne rashode i izdatke. Svi prihodi i primici i svi rashodi i izdaci iskazuju se u proračunu u punom iznosu, tj. prema bruto načelu.</w:t>
      </w:r>
    </w:p>
    <w:p w14:paraId="5FF11450"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U proračunu se planiraju svi prihodi i primici  te rashodi i izdaci, koji se raspoređuju po organizacijskoj, programskoj, funkcijskoj, ekonomskoj i lokacijskoj klasifikaciji s jasnom organizacijskom strukturom te izvorima financiranja.</w:t>
      </w:r>
    </w:p>
    <w:p w14:paraId="3EA527B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Metodologija izrade proračuna propisana je Zakonom o proračunu i podzakonskim aktima: Pravilnikom o proračunskim klasifikacijama (NN, broj 4/24) i Pravilnikom o proračunskom računovodstvu i Računskom planu (NN, broj 158/23). </w:t>
      </w:r>
    </w:p>
    <w:p w14:paraId="60F16B79"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p>
    <w:p w14:paraId="28B4F28D"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Prijedlog Proračuna Grada Donjeg Miholjca za 2026. godinu sastavljen je na osnovi:</w:t>
      </w:r>
    </w:p>
    <w:p w14:paraId="40C9CCC9"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Smjernica Ministarstva financija za izradu proračuna jedinica lokalne i područne samouprave za 2026.-2028. godine, kao i Metodologije za izradu proračuna s modelima i obrascima za izradu strukturnih dijelova proračuna,</w:t>
      </w:r>
    </w:p>
    <w:p w14:paraId="18C21263"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 xml:space="preserve">Uputa za izradu programa i aktivnosti Proračuna Grada Donjeg Miholjca za 2026.-2028. godinu  za proračunske korisnike  koje je donio pročelnik, </w:t>
      </w:r>
    </w:p>
    <w:p w14:paraId="684831DC"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Procjene o mogućnostima naplate prihoda Grada temeljem pripadnosti poreza i visini poreznih stopa u skladu sa Zakonom o financiranju jedinica lokalne i područne samouprave,</w:t>
      </w:r>
    </w:p>
    <w:p w14:paraId="34ADB338"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Izvršenja prihoda i primitaka te rashoda i izdataka u 2024. godini,</w:t>
      </w:r>
    </w:p>
    <w:p w14:paraId="06C12D36"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Izvršenja prihoda i primitaka te rashoda i izdataka do kraja rujna 2025. godine,</w:t>
      </w:r>
    </w:p>
    <w:p w14:paraId="3BF01722"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 xml:space="preserve">Analize stanja u djelokrugu gospodarstva, kulture, športa, odgoja i obrazovanja, zdravstva i socijale, te u djelokrugu komunalne djelatnosti u Gradu, </w:t>
      </w:r>
    </w:p>
    <w:p w14:paraId="04B434C5" w14:textId="77777777" w:rsidR="00C41768" w:rsidRPr="00C41768" w:rsidRDefault="00C41768" w:rsidP="00C41768">
      <w:pPr>
        <w:numPr>
          <w:ilvl w:val="0"/>
          <w:numId w:val="5"/>
        </w:num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Donesenim gradskim Odlukama o lokalnim prihodima (porezima, naknadama i doprinosima)</w:t>
      </w:r>
    </w:p>
    <w:p w14:paraId="10590CA3"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p>
    <w:p w14:paraId="43467CFE"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Zakonom o proračunu jedinice su obvezne uključiti vlastite i namjenske prihode i primitke svih proračunskih korisnika u proračun JLP(R)S. Odlukom o izvršavanju proračuna je moguće izuzeće od obveze uplate vlastitih i namjenskih prihoda i primitaka proračunskih korisnika u proračun. Grad Donji Miholjac ima jedinstveni račun proračuna koji je otvoren i vodi se u kreditnoj instituciji, a na kojem se ostvaruju svi priljevi i izvršavaju svi odljevi proračuna i proračunskih Grada te je osigurano izvještajno praćenje ostvarivanja vlastitih i namjenskih prihoda i primitaka, kao i njihovo trošenje.</w:t>
      </w:r>
    </w:p>
    <w:p w14:paraId="0235E37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863C86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Osnovni ciljevi u provođenju politike Grada Donjeg Miholjca u narednom razdoblju bit će ulaganje napora za održavanjem i povećanjem postojeće razine kvalitete života za sve stanovnike na području Grada, koliko to opće prilike budu dozvoljavale, a sve to kroz različite programe: </w:t>
      </w:r>
    </w:p>
    <w:p w14:paraId="570C33D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jačanja gospodarstva, </w:t>
      </w:r>
    </w:p>
    <w:p w14:paraId="0A2EC6A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potpore poljoprivredi, </w:t>
      </w:r>
    </w:p>
    <w:p w14:paraId="3F88E4C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izgradnja i održavanja komunalne infrastrukture </w:t>
      </w:r>
    </w:p>
    <w:p w14:paraId="01BE029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zaštite, očuvanja i unapređenja zdravlja, </w:t>
      </w:r>
    </w:p>
    <w:p w14:paraId="7175E8D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razvoja i upravljanja sustavom vodoopskrbe, odvodnje i zaštite voda, </w:t>
      </w:r>
    </w:p>
    <w:p w14:paraId="5373653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promicanja i očuvanja kulturne baštine, </w:t>
      </w:r>
    </w:p>
    <w:p w14:paraId="0CFED45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razvoja sporta i rekreacije, </w:t>
      </w:r>
    </w:p>
    <w:p w14:paraId="27259E0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lastRenderedPageBreak/>
        <w:t xml:space="preserve">- razvoja civilnog društva, </w:t>
      </w:r>
    </w:p>
    <w:p w14:paraId="692CF6E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zaštite i promicanja prava i interesa osoba sa invaliditetom,</w:t>
      </w:r>
    </w:p>
    <w:p w14:paraId="7D0976E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zaštita okoliša </w:t>
      </w:r>
    </w:p>
    <w:p w14:paraId="6F244EF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EF6571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Upravni odjel za proračun i financije zajedno sa drugim Upravnim odjelom,  priprema Nacrt Proračuna (uravnoteženje prihoda i rashoda) za 2026. godinu i projekcije za 2027. i 2028. godinu, te ga dostavlja Gradonačelniku.</w:t>
      </w:r>
    </w:p>
    <w:p w14:paraId="2B77BC7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Sukladno odredbi članka 40. stavak 2. Zakona o proračunu Gradonačelnik Grada Donjeg Miholjca utvrdio je Prijedlog proračuna za 2026. godinu sa projekcijama za 2026. i 2027. godinu te je isti uputio dana 14. studenoga 2025. godine Gradskom vijeću Grada Donjeg Miholjca na razmatranje i donošenje. Gradsko vijeće Grada Donjeg Miholjca obvezno je donijeti Proračun Grada Donjeg Miholjca za 2026. godinu sa projekcijama za 2027. i 2028. godinu do kraja mjeseca prosinca 2025. godine. Uz proračun i projekcije donosi se i Odluka o izvršenju proračuna.</w:t>
      </w:r>
    </w:p>
    <w:p w14:paraId="2B86C48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U tijeku rasprave o prijedlogu Proračuna, podneseni amandmani kojima se predlaže povećanje rashoda iznad iznosa utvrđenih prijedlogom, mogu se prihvatiti pod uvjetom da se istodobno predloži smanjenje nekih drugih rashoda, ali ne smiju biti na teret proračunske zalihe. </w:t>
      </w:r>
    </w:p>
    <w:p w14:paraId="6C2F377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Prijedlog Proračuna Grada Donjeg Miholjca za 2026. godinu sa projekcijama za sljedeće dvije godine izrađen je po metodologiji propisanoj Zakonom o proračunu. Temeljem Zakona o proračunu i Pravilnika o proračunskim klasifikacijama u nastavku se obrazlaže slijedeće:</w:t>
      </w:r>
    </w:p>
    <w:p w14:paraId="6A6F3BF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85DA457" w14:textId="77777777" w:rsidR="00C41768" w:rsidRPr="00C41768" w:rsidRDefault="00C41768" w:rsidP="00C41768">
      <w:pPr>
        <w:numPr>
          <w:ilvl w:val="0"/>
          <w:numId w:val="10"/>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proračuna – po ekonomskoj klasifikaciji</w:t>
      </w:r>
    </w:p>
    <w:p w14:paraId="4B767D5D" w14:textId="77777777" w:rsidR="00C41768" w:rsidRPr="00C41768" w:rsidRDefault="00C41768" w:rsidP="00C41768">
      <w:pPr>
        <w:numPr>
          <w:ilvl w:val="0"/>
          <w:numId w:val="10"/>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proračuna – po ekonomskoj klasifikaciji</w:t>
      </w:r>
    </w:p>
    <w:p w14:paraId="1BB437DF" w14:textId="77777777" w:rsidR="00C41768" w:rsidRPr="00C41768" w:rsidRDefault="00C41768" w:rsidP="00C41768">
      <w:pPr>
        <w:numPr>
          <w:ilvl w:val="0"/>
          <w:numId w:val="10"/>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Račun prihoda i rashoda prema funkcijskoj klasifikaciji</w:t>
      </w:r>
    </w:p>
    <w:p w14:paraId="6BD02CBE" w14:textId="77777777" w:rsidR="00C41768" w:rsidRPr="00C41768" w:rsidRDefault="00C41768" w:rsidP="00C41768">
      <w:pPr>
        <w:numPr>
          <w:ilvl w:val="0"/>
          <w:numId w:val="10"/>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Račun financiranja</w:t>
      </w:r>
    </w:p>
    <w:p w14:paraId="2C5160D9" w14:textId="77777777" w:rsidR="00C41768" w:rsidRPr="00C41768" w:rsidRDefault="00C41768" w:rsidP="00C41768">
      <w:pPr>
        <w:numPr>
          <w:ilvl w:val="0"/>
          <w:numId w:val="10"/>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Rashodi i izdaci proračuna – po organizacijskoj klasifikaciji </w:t>
      </w:r>
    </w:p>
    <w:p w14:paraId="48FD26FE" w14:textId="77777777" w:rsidR="00C41768" w:rsidRPr="00C41768" w:rsidRDefault="00C41768" w:rsidP="00C41768">
      <w:pPr>
        <w:numPr>
          <w:ilvl w:val="0"/>
          <w:numId w:val="12"/>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po programskoj klasifikaciji</w:t>
      </w:r>
    </w:p>
    <w:p w14:paraId="32CDC706" w14:textId="77777777" w:rsidR="00C41768" w:rsidRPr="00C41768" w:rsidRDefault="00C41768" w:rsidP="00C41768">
      <w:pPr>
        <w:numPr>
          <w:ilvl w:val="0"/>
          <w:numId w:val="12"/>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po izvorima financiranja</w:t>
      </w:r>
    </w:p>
    <w:p w14:paraId="1B590879" w14:textId="77777777" w:rsidR="00C41768" w:rsidRPr="00C41768" w:rsidRDefault="00C41768" w:rsidP="00C41768">
      <w:pPr>
        <w:numPr>
          <w:ilvl w:val="0"/>
          <w:numId w:val="10"/>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Ostali izvještaji</w:t>
      </w:r>
    </w:p>
    <w:p w14:paraId="5082B3C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138B63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7B3F1D1" w14:textId="77777777" w:rsidR="00C41768" w:rsidRPr="00C41768" w:rsidRDefault="00C41768" w:rsidP="00C41768">
      <w:pPr>
        <w:numPr>
          <w:ilvl w:val="0"/>
          <w:numId w:val="13"/>
        </w:numPr>
        <w:autoSpaceDE w:val="0"/>
        <w:autoSpaceDN w:val="0"/>
        <w:adjustRightInd w:val="0"/>
        <w:spacing w:after="0" w:line="72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PRIHODI PRORAČUNA – PO EKONOMSKOJ KLASIFIKACIJI</w:t>
      </w:r>
    </w:p>
    <w:p w14:paraId="0D50A67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Prihodi proračuna Grada Donjeg Miholjca za 2026. godinu planiraju se u iznosu od 9.902.651,39 eura. U 2027. godini prihodi proračuna projicirani su sa </w:t>
      </w:r>
      <w:r w:rsidRPr="00C41768">
        <w:rPr>
          <w:rFonts w:ascii="Arial" w:eastAsia="Times New Roman" w:hAnsi="Arial" w:cs="Arial"/>
          <w:kern w:val="0"/>
          <w:sz w:val="24"/>
          <w:szCs w:val="24"/>
          <w:lang w:eastAsia="hr-HR"/>
          <w14:ligatures w14:val="none"/>
        </w:rPr>
        <w:t>smanjenjem</w:t>
      </w:r>
      <w:r w:rsidRPr="00C41768">
        <w:rPr>
          <w:rFonts w:ascii="Arial" w:eastAsia="Times New Roman" w:hAnsi="Arial" w:cs="Arial"/>
          <w:color w:val="000000"/>
          <w:kern w:val="0"/>
          <w:sz w:val="24"/>
          <w:szCs w:val="24"/>
          <w:lang w:eastAsia="hr-HR"/>
          <w14:ligatures w14:val="none"/>
        </w:rPr>
        <w:t xml:space="preserve"> i planiraju se u iznosu  od </w:t>
      </w:r>
      <w:r w:rsidRPr="00C41768">
        <w:rPr>
          <w:rFonts w:ascii="Arial" w:eastAsia="Times New Roman" w:hAnsi="Arial" w:cs="Arial"/>
          <w:kern w:val="0"/>
          <w:sz w:val="24"/>
          <w:szCs w:val="24"/>
          <w:lang w:eastAsia="hr-HR"/>
          <w14:ligatures w14:val="none"/>
        </w:rPr>
        <w:t>8.440.170,75</w:t>
      </w:r>
      <w:r w:rsidRPr="00C41768">
        <w:rPr>
          <w:rFonts w:ascii="Arial" w:eastAsia="Times New Roman" w:hAnsi="Arial" w:cs="Arial"/>
          <w:color w:val="000000"/>
          <w:kern w:val="0"/>
          <w:sz w:val="24"/>
          <w:szCs w:val="24"/>
          <w:lang w:eastAsia="hr-HR"/>
          <w14:ligatures w14:val="none"/>
        </w:rPr>
        <w:t xml:space="preserve"> eura, a u 2028. godini prihodi proračuna projicirani su također sa </w:t>
      </w:r>
      <w:r w:rsidRPr="00C41768">
        <w:rPr>
          <w:rFonts w:ascii="Arial" w:eastAsia="Times New Roman" w:hAnsi="Arial" w:cs="Arial"/>
          <w:kern w:val="0"/>
          <w:sz w:val="24"/>
          <w:szCs w:val="24"/>
          <w:lang w:eastAsia="hr-HR"/>
          <w14:ligatures w14:val="none"/>
        </w:rPr>
        <w:t>smanjenjem</w:t>
      </w:r>
      <w:r w:rsidRPr="00C41768">
        <w:rPr>
          <w:rFonts w:ascii="Arial" w:eastAsia="Times New Roman" w:hAnsi="Arial" w:cs="Arial"/>
          <w:color w:val="000000"/>
          <w:kern w:val="0"/>
          <w:sz w:val="24"/>
          <w:szCs w:val="24"/>
          <w:lang w:eastAsia="hr-HR"/>
          <w14:ligatures w14:val="none"/>
        </w:rPr>
        <w:t xml:space="preserve"> i planirani su u iznosu od                  </w:t>
      </w:r>
      <w:r w:rsidRPr="00C41768">
        <w:rPr>
          <w:rFonts w:ascii="Arial" w:eastAsia="Times New Roman" w:hAnsi="Arial" w:cs="Arial"/>
          <w:kern w:val="0"/>
          <w:sz w:val="24"/>
          <w:szCs w:val="24"/>
          <w:lang w:eastAsia="hr-HR"/>
          <w14:ligatures w14:val="none"/>
        </w:rPr>
        <w:t>8.093.269,65</w:t>
      </w:r>
      <w:r w:rsidRPr="00C41768">
        <w:rPr>
          <w:rFonts w:ascii="Arial" w:eastAsia="Times New Roman" w:hAnsi="Arial" w:cs="Arial"/>
          <w:color w:val="000000"/>
          <w:kern w:val="0"/>
          <w:sz w:val="24"/>
          <w:szCs w:val="24"/>
          <w:lang w:eastAsia="hr-HR"/>
          <w14:ligatures w14:val="none"/>
        </w:rPr>
        <w:t xml:space="preserve"> eura.</w:t>
      </w:r>
    </w:p>
    <w:p w14:paraId="6A0FA86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Ukupni proračunski prihodi sastoje se od prihoda poslovanja i prihoda od prodaje nefinancijske imovine.</w:t>
      </w:r>
    </w:p>
    <w:p w14:paraId="75BD657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DE985F3" w14:textId="77777777" w:rsidR="00C41768" w:rsidRPr="00C41768" w:rsidRDefault="00C41768" w:rsidP="00C41768">
      <w:pPr>
        <w:numPr>
          <w:ilvl w:val="1"/>
          <w:numId w:val="13"/>
        </w:numPr>
        <w:autoSpaceDE w:val="0"/>
        <w:autoSpaceDN w:val="0"/>
        <w:adjustRightInd w:val="0"/>
        <w:spacing w:after="0" w:line="240" w:lineRule="auto"/>
        <w:ind w:left="567" w:hanging="567"/>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Prihodi poslovanja</w:t>
      </w:r>
    </w:p>
    <w:p w14:paraId="02C4BCAF"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50872D5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poslovanja planiraju se za 2026. godinu u iznosu od </w:t>
      </w:r>
      <w:r w:rsidRPr="00C41768">
        <w:rPr>
          <w:rFonts w:ascii="Arial" w:eastAsia="Times New Roman" w:hAnsi="Arial" w:cs="Arial"/>
          <w:kern w:val="0"/>
          <w:sz w:val="24"/>
          <w:szCs w:val="24"/>
          <w:lang w:eastAsia="hr-HR"/>
          <w14:ligatures w14:val="none"/>
        </w:rPr>
        <w:t>9.751.351,39</w:t>
      </w:r>
      <w:r w:rsidRPr="00C41768">
        <w:rPr>
          <w:rFonts w:ascii="Arial" w:eastAsia="Times New Roman" w:hAnsi="Arial" w:cs="Arial"/>
          <w:color w:val="000000"/>
          <w:kern w:val="0"/>
          <w:sz w:val="24"/>
          <w:szCs w:val="24"/>
          <w:lang w:eastAsia="hr-HR"/>
          <w14:ligatures w14:val="none"/>
        </w:rPr>
        <w:t xml:space="preserve"> eura. Obzirom na vrste prihoda poslovanja, u 2026. godini, u odnosu na 2025. godinu, </w:t>
      </w:r>
      <w:r w:rsidRPr="00C41768">
        <w:rPr>
          <w:rFonts w:ascii="Arial" w:eastAsia="Times New Roman" w:hAnsi="Arial" w:cs="Arial"/>
          <w:kern w:val="0"/>
          <w:sz w:val="24"/>
          <w:szCs w:val="24"/>
          <w:lang w:eastAsia="hr-HR"/>
          <w14:ligatures w14:val="none"/>
        </w:rPr>
        <w:t>planiraju se:</w:t>
      </w:r>
    </w:p>
    <w:p w14:paraId="6CE40D92"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poreza </w:t>
      </w:r>
    </w:p>
    <w:p w14:paraId="03E98125"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Pomoći subjekata unutar opće države </w:t>
      </w:r>
    </w:p>
    <w:p w14:paraId="300C1985"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imovine </w:t>
      </w:r>
    </w:p>
    <w:p w14:paraId="5B3BDC2E"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upravnih i administrativnih pristojbi, pristojbi po posebnim propisima i naknada </w:t>
      </w:r>
    </w:p>
    <w:p w14:paraId="227ABAE3"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prodaje proizvoda i roba te pruženih usluga, prihodi od donacija te povrati po protestiranim jamstvima</w:t>
      </w:r>
    </w:p>
    <w:p w14:paraId="596058B3"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Kazne, upravne mjere i ostali prihodi</w:t>
      </w:r>
    </w:p>
    <w:p w14:paraId="6037BAB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504048E" w14:textId="6FE08E3F" w:rsidR="007A17BA" w:rsidRDefault="007A17BA">
      <w:pPr>
        <w:rPr>
          <w:rFonts w:ascii="Arial" w:eastAsia="Times New Roman" w:hAnsi="Arial" w:cs="Arial"/>
          <w:color w:val="000000"/>
          <w:kern w:val="0"/>
          <w:sz w:val="24"/>
          <w:szCs w:val="24"/>
          <w:lang w:eastAsia="hr-HR"/>
          <w14:ligatures w14:val="none"/>
        </w:rPr>
      </w:pPr>
      <w:r>
        <w:rPr>
          <w:rFonts w:ascii="Arial" w:eastAsia="Times New Roman" w:hAnsi="Arial" w:cs="Arial"/>
          <w:color w:val="000000"/>
          <w:kern w:val="0"/>
          <w:sz w:val="24"/>
          <w:szCs w:val="24"/>
          <w:lang w:eastAsia="hr-HR"/>
          <w14:ligatures w14:val="none"/>
        </w:rPr>
        <w:br w:type="page"/>
      </w:r>
    </w:p>
    <w:p w14:paraId="14BE048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62FAD41"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poreza</w:t>
      </w:r>
    </w:p>
    <w:p w14:paraId="3E165F2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B4CE1A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U 2026. godini prihodi od poreza planiraju se: </w:t>
      </w:r>
    </w:p>
    <w:p w14:paraId="4F7AEF35"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poreza na dohodak planiraju se u iznosu </w:t>
      </w:r>
      <w:r w:rsidRPr="00C41768">
        <w:rPr>
          <w:rFonts w:ascii="Arial" w:eastAsia="Times New Roman" w:hAnsi="Arial" w:cs="Arial"/>
          <w:kern w:val="0"/>
          <w:sz w:val="24"/>
          <w:szCs w:val="24"/>
          <w:lang w:eastAsia="hr-HR"/>
          <w14:ligatures w14:val="none"/>
        </w:rPr>
        <w:t>od  2.877.882,87</w:t>
      </w:r>
      <w:r w:rsidRPr="00C41768">
        <w:rPr>
          <w:rFonts w:ascii="Arial" w:eastAsia="Times New Roman" w:hAnsi="Arial" w:cs="Arial"/>
          <w:color w:val="000000"/>
          <w:kern w:val="0"/>
          <w:sz w:val="24"/>
          <w:szCs w:val="24"/>
          <w:lang w:eastAsia="hr-HR"/>
          <w14:ligatures w14:val="none"/>
        </w:rPr>
        <w:t xml:space="preserve"> eura</w:t>
      </w:r>
    </w:p>
    <w:p w14:paraId="3A37AF2D"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poreza na imovinu planiraju se u iznosu </w:t>
      </w:r>
      <w:r w:rsidRPr="00C41768">
        <w:rPr>
          <w:rFonts w:ascii="Arial" w:eastAsia="Times New Roman" w:hAnsi="Arial" w:cs="Arial"/>
          <w:kern w:val="0"/>
          <w:sz w:val="24"/>
          <w:szCs w:val="24"/>
          <w:lang w:eastAsia="hr-HR"/>
          <w14:ligatures w14:val="none"/>
        </w:rPr>
        <w:t>od  481.000,00</w:t>
      </w:r>
      <w:r w:rsidRPr="00C41768">
        <w:rPr>
          <w:rFonts w:ascii="Arial" w:eastAsia="Times New Roman" w:hAnsi="Arial" w:cs="Arial"/>
          <w:color w:val="000000"/>
          <w:kern w:val="0"/>
          <w:sz w:val="24"/>
          <w:szCs w:val="24"/>
          <w:lang w:eastAsia="hr-HR"/>
          <w14:ligatures w14:val="none"/>
        </w:rPr>
        <w:t xml:space="preserve"> eura</w:t>
      </w:r>
    </w:p>
    <w:p w14:paraId="054832E8"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poreza na robu i usluge planiraju se u </w:t>
      </w:r>
      <w:r w:rsidRPr="00C41768">
        <w:rPr>
          <w:rFonts w:ascii="Arial" w:eastAsia="Times New Roman" w:hAnsi="Arial" w:cs="Arial"/>
          <w:kern w:val="0"/>
          <w:sz w:val="24"/>
          <w:szCs w:val="24"/>
          <w:lang w:eastAsia="hr-HR"/>
          <w14:ligatures w14:val="none"/>
        </w:rPr>
        <w:t>iznosu od 5.400,00</w:t>
      </w:r>
      <w:r w:rsidRPr="00C41768">
        <w:rPr>
          <w:rFonts w:ascii="Arial" w:eastAsia="Times New Roman" w:hAnsi="Arial" w:cs="Arial"/>
          <w:color w:val="000000"/>
          <w:kern w:val="0"/>
          <w:sz w:val="24"/>
          <w:szCs w:val="24"/>
          <w:lang w:eastAsia="hr-HR"/>
          <w14:ligatures w14:val="none"/>
        </w:rPr>
        <w:t xml:space="preserve"> eura</w:t>
      </w:r>
    </w:p>
    <w:p w14:paraId="3DD5B4C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A85804D"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pomoći od subjekata unutar općeg proračuna</w:t>
      </w:r>
    </w:p>
    <w:p w14:paraId="7E97D86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p>
    <w:p w14:paraId="225687E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U 2026. godini prihodi od pomoći planiraju se: </w:t>
      </w:r>
    </w:p>
    <w:p w14:paraId="6CA81BF4"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Pomoći proračunu iz drugih proračuna u iznosu od </w:t>
      </w:r>
      <w:r w:rsidRPr="00C41768">
        <w:rPr>
          <w:rFonts w:ascii="Arial" w:eastAsia="Times New Roman" w:hAnsi="Arial" w:cs="Arial"/>
          <w:kern w:val="0"/>
          <w:sz w:val="24"/>
          <w:szCs w:val="24"/>
          <w:lang w:eastAsia="hr-HR"/>
          <w14:ligatures w14:val="none"/>
        </w:rPr>
        <w:t>1.173.913,78 eura</w:t>
      </w:r>
    </w:p>
    <w:p w14:paraId="08454F96"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Pomoći od izvanproračunskih korisnika u iznosu </w:t>
      </w:r>
      <w:r w:rsidRPr="00C41768">
        <w:rPr>
          <w:rFonts w:ascii="Arial" w:eastAsia="Times New Roman" w:hAnsi="Arial" w:cs="Arial"/>
          <w:kern w:val="0"/>
          <w:sz w:val="24"/>
          <w:szCs w:val="24"/>
          <w:lang w:eastAsia="hr-HR"/>
          <w14:ligatures w14:val="none"/>
        </w:rPr>
        <w:t>od 201.000,00</w:t>
      </w:r>
      <w:r w:rsidRPr="00C41768">
        <w:rPr>
          <w:rFonts w:ascii="Arial" w:eastAsia="Times New Roman" w:hAnsi="Arial" w:cs="Arial"/>
          <w:color w:val="000000"/>
          <w:kern w:val="0"/>
          <w:sz w:val="24"/>
          <w:szCs w:val="24"/>
          <w:lang w:eastAsia="hr-HR"/>
          <w14:ligatures w14:val="none"/>
        </w:rPr>
        <w:t xml:space="preserve"> eura</w:t>
      </w:r>
    </w:p>
    <w:p w14:paraId="660AEF5A"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Pomoći fiskalnog izravnanja u iznosu od 2.109.297,66 eura</w:t>
      </w:r>
    </w:p>
    <w:p w14:paraId="4C8D42EF"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Pomoći proračunskim korisnicima iz proračuna koji im nije nadležan u iznosu od 374.138,00 eura</w:t>
      </w:r>
    </w:p>
    <w:p w14:paraId="624DB299"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Pomoći temeljem prijenosa EU sredstava u iznosu od </w:t>
      </w:r>
      <w:r w:rsidRPr="00C41768">
        <w:rPr>
          <w:rFonts w:ascii="Arial" w:eastAsia="Times New Roman" w:hAnsi="Arial" w:cs="Arial"/>
          <w:kern w:val="0"/>
          <w:sz w:val="24"/>
          <w:szCs w:val="24"/>
          <w:lang w:eastAsia="hr-HR"/>
          <w14:ligatures w14:val="none"/>
        </w:rPr>
        <w:t>1.293.355,89</w:t>
      </w:r>
      <w:r w:rsidRPr="00C41768">
        <w:rPr>
          <w:rFonts w:ascii="Arial" w:eastAsia="Times New Roman" w:hAnsi="Arial" w:cs="Arial"/>
          <w:color w:val="000000"/>
          <w:kern w:val="0"/>
          <w:sz w:val="24"/>
          <w:szCs w:val="24"/>
          <w:lang w:eastAsia="hr-HR"/>
          <w14:ligatures w14:val="none"/>
        </w:rPr>
        <w:t xml:space="preserve"> eura</w:t>
      </w:r>
    </w:p>
    <w:p w14:paraId="59C9876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35B4804"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imovine</w:t>
      </w:r>
    </w:p>
    <w:p w14:paraId="7FE688A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A149E1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U 2026. godini prihodi od imovine planiraju se:</w:t>
      </w:r>
    </w:p>
    <w:p w14:paraId="1402DB10"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financijske imovine u iznosu </w:t>
      </w:r>
      <w:r w:rsidRPr="00C41768">
        <w:rPr>
          <w:rFonts w:ascii="Arial" w:eastAsia="Times New Roman" w:hAnsi="Arial" w:cs="Arial"/>
          <w:kern w:val="0"/>
          <w:sz w:val="24"/>
          <w:szCs w:val="24"/>
          <w:lang w:eastAsia="hr-HR"/>
          <w14:ligatures w14:val="none"/>
        </w:rPr>
        <w:t>od 15.710,00</w:t>
      </w:r>
      <w:r w:rsidRPr="00C41768">
        <w:rPr>
          <w:rFonts w:ascii="Arial" w:eastAsia="Times New Roman" w:hAnsi="Arial" w:cs="Arial"/>
          <w:color w:val="000000"/>
          <w:kern w:val="0"/>
          <w:sz w:val="24"/>
          <w:szCs w:val="24"/>
          <w:lang w:eastAsia="hr-HR"/>
          <w14:ligatures w14:val="none"/>
        </w:rPr>
        <w:t xml:space="preserve"> eura</w:t>
      </w:r>
    </w:p>
    <w:p w14:paraId="4C9AB972"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nefinancijske imovine u iznosu </w:t>
      </w:r>
      <w:r w:rsidRPr="00C41768">
        <w:rPr>
          <w:rFonts w:ascii="Arial" w:eastAsia="Times New Roman" w:hAnsi="Arial" w:cs="Arial"/>
          <w:kern w:val="0"/>
          <w:sz w:val="24"/>
          <w:szCs w:val="24"/>
          <w:lang w:eastAsia="hr-HR"/>
          <w14:ligatures w14:val="none"/>
        </w:rPr>
        <w:t>od 509.322,28</w:t>
      </w:r>
      <w:r w:rsidRPr="00C41768">
        <w:rPr>
          <w:rFonts w:ascii="Arial" w:eastAsia="Times New Roman" w:hAnsi="Arial" w:cs="Arial"/>
          <w:color w:val="000000"/>
          <w:kern w:val="0"/>
          <w:sz w:val="24"/>
          <w:szCs w:val="24"/>
          <w:lang w:eastAsia="hr-HR"/>
          <w14:ligatures w14:val="none"/>
        </w:rPr>
        <w:t xml:space="preserve"> eura</w:t>
      </w:r>
    </w:p>
    <w:p w14:paraId="66C932F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p>
    <w:p w14:paraId="4FB409F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p>
    <w:p w14:paraId="48EE137B"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upravnih i administrativnih pristojbi, pristojbi po posebnim propisima </w:t>
      </w:r>
    </w:p>
    <w:p w14:paraId="706E209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i naknada </w:t>
      </w:r>
    </w:p>
    <w:p w14:paraId="4BE5F31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FAB7AEB"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upravnih i administrativnih pristojbi, u </w:t>
      </w:r>
      <w:r w:rsidRPr="00C41768">
        <w:rPr>
          <w:rFonts w:ascii="Arial" w:eastAsia="Times New Roman" w:hAnsi="Arial" w:cs="Arial"/>
          <w:kern w:val="0"/>
          <w:sz w:val="24"/>
          <w:szCs w:val="24"/>
          <w:lang w:eastAsia="hr-HR"/>
          <w14:ligatures w14:val="none"/>
        </w:rPr>
        <w:t>iznosu 6.500,00 eura</w:t>
      </w:r>
    </w:p>
    <w:p w14:paraId="009760BE"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po posebnim propisima planiraju se u iznosu </w:t>
      </w:r>
      <w:r w:rsidRPr="00C41768">
        <w:rPr>
          <w:rFonts w:ascii="Arial" w:eastAsia="Times New Roman" w:hAnsi="Arial" w:cs="Arial"/>
          <w:kern w:val="0"/>
          <w:sz w:val="24"/>
          <w:szCs w:val="24"/>
          <w:lang w:eastAsia="hr-HR"/>
          <w14:ligatures w14:val="none"/>
        </w:rPr>
        <w:t>335.630,91</w:t>
      </w:r>
      <w:r w:rsidRPr="00C41768">
        <w:rPr>
          <w:rFonts w:ascii="Arial" w:eastAsia="Times New Roman" w:hAnsi="Arial" w:cs="Arial"/>
          <w:color w:val="000000"/>
          <w:kern w:val="0"/>
          <w:sz w:val="24"/>
          <w:szCs w:val="24"/>
          <w:lang w:eastAsia="hr-HR"/>
          <w14:ligatures w14:val="none"/>
        </w:rPr>
        <w:t xml:space="preserve"> eura</w:t>
      </w:r>
    </w:p>
    <w:p w14:paraId="4A67048E"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komunalnih doprinosa i naknada planiraju se  u iznosu</w:t>
      </w:r>
    </w:p>
    <w:p w14:paraId="6D26A9E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od </w:t>
      </w:r>
      <w:r w:rsidRPr="00C41768">
        <w:rPr>
          <w:rFonts w:ascii="Arial" w:eastAsia="Times New Roman" w:hAnsi="Arial" w:cs="Arial"/>
          <w:kern w:val="0"/>
          <w:sz w:val="24"/>
          <w:szCs w:val="24"/>
          <w:lang w:eastAsia="hr-HR"/>
          <w14:ligatures w14:val="none"/>
        </w:rPr>
        <w:t>309.900,00</w:t>
      </w:r>
      <w:r w:rsidRPr="00C41768">
        <w:rPr>
          <w:rFonts w:ascii="Arial" w:eastAsia="Times New Roman" w:hAnsi="Arial" w:cs="Arial"/>
          <w:color w:val="000000"/>
          <w:kern w:val="0"/>
          <w:sz w:val="24"/>
          <w:szCs w:val="24"/>
          <w:lang w:eastAsia="hr-HR"/>
          <w14:ligatures w14:val="none"/>
        </w:rPr>
        <w:t xml:space="preserve"> eura.  </w:t>
      </w:r>
    </w:p>
    <w:p w14:paraId="7F50106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D9310D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DF91F6E" w14:textId="77777777" w:rsidR="00C41768" w:rsidRPr="00C41768" w:rsidRDefault="00C41768" w:rsidP="00C41768">
      <w:pPr>
        <w:numPr>
          <w:ilvl w:val="0"/>
          <w:numId w:val="14"/>
        </w:numPr>
        <w:autoSpaceDE w:val="0"/>
        <w:autoSpaceDN w:val="0"/>
        <w:adjustRightInd w:val="0"/>
        <w:spacing w:after="0" w:line="240" w:lineRule="auto"/>
        <w:ind w:left="284"/>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Prihodi od prodaje proizvoda i robe te pruženih usluga i prihodi od donacija</w:t>
      </w:r>
    </w:p>
    <w:p w14:paraId="6937A25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65AD1B9"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prodaje proizvoda i robe te pruženih usluga planiraju se u 2026. godini  u iznosu od </w:t>
      </w:r>
      <w:r w:rsidRPr="00C41768">
        <w:rPr>
          <w:rFonts w:ascii="Arial" w:eastAsia="Times New Roman" w:hAnsi="Arial" w:cs="Arial"/>
          <w:kern w:val="0"/>
          <w:sz w:val="24"/>
          <w:szCs w:val="24"/>
          <w:lang w:eastAsia="hr-HR"/>
          <w14:ligatures w14:val="none"/>
        </w:rPr>
        <w:t>40.000,00</w:t>
      </w:r>
      <w:r w:rsidRPr="00C41768">
        <w:rPr>
          <w:rFonts w:ascii="Arial" w:eastAsia="Times New Roman" w:hAnsi="Arial" w:cs="Arial"/>
          <w:color w:val="000000"/>
          <w:kern w:val="0"/>
          <w:sz w:val="24"/>
          <w:szCs w:val="24"/>
          <w:lang w:eastAsia="hr-HR"/>
          <w14:ligatures w14:val="none"/>
        </w:rPr>
        <w:t xml:space="preserve"> eura</w:t>
      </w:r>
    </w:p>
    <w:p w14:paraId="352C66F2"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Donacije od pravnih i fizičkih osoba izvan općeg proračuna planiraju u iznosu od </w:t>
      </w:r>
      <w:r w:rsidRPr="00C41768">
        <w:rPr>
          <w:rFonts w:ascii="Arial" w:eastAsia="Times New Roman" w:hAnsi="Arial" w:cs="Arial"/>
          <w:kern w:val="0"/>
          <w:sz w:val="24"/>
          <w:szCs w:val="24"/>
          <w:lang w:eastAsia="hr-HR"/>
          <w14:ligatures w14:val="none"/>
        </w:rPr>
        <w:t>300,00</w:t>
      </w:r>
      <w:r w:rsidRPr="00C41768">
        <w:rPr>
          <w:rFonts w:ascii="Arial" w:eastAsia="Times New Roman" w:hAnsi="Arial" w:cs="Arial"/>
          <w:color w:val="000000"/>
          <w:kern w:val="0"/>
          <w:sz w:val="24"/>
          <w:szCs w:val="24"/>
          <w:lang w:eastAsia="hr-HR"/>
          <w14:ligatures w14:val="none"/>
        </w:rPr>
        <w:t xml:space="preserve"> eura.    </w:t>
      </w:r>
    </w:p>
    <w:p w14:paraId="0376295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p>
    <w:p w14:paraId="671D60E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D1C27E8"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kazni, upravnih mjera i ostali prihodi</w:t>
      </w:r>
    </w:p>
    <w:p w14:paraId="6C33D7E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BEDC275"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kazni i upravnih mjera planiraju se u iznosu </w:t>
      </w:r>
      <w:r w:rsidRPr="00C41768">
        <w:rPr>
          <w:rFonts w:ascii="Arial" w:eastAsia="Times New Roman" w:hAnsi="Arial" w:cs="Arial"/>
          <w:kern w:val="0"/>
          <w:sz w:val="24"/>
          <w:szCs w:val="24"/>
          <w:lang w:eastAsia="hr-HR"/>
          <w14:ligatures w14:val="none"/>
        </w:rPr>
        <w:t>od 2.000,00 eura</w:t>
      </w:r>
    </w:p>
    <w:p w14:paraId="0B49D5C1"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Ostali prihodi planiraju se u iznosu od  16.000,00 eura.</w:t>
      </w:r>
    </w:p>
    <w:p w14:paraId="2A99F906" w14:textId="77777777" w:rsidR="00C41768" w:rsidRPr="00C41768" w:rsidRDefault="00C41768" w:rsidP="00C41768">
      <w:pPr>
        <w:autoSpaceDE w:val="0"/>
        <w:autoSpaceDN w:val="0"/>
        <w:adjustRightInd w:val="0"/>
        <w:spacing w:after="0" w:line="36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p>
    <w:p w14:paraId="6FF31F96" w14:textId="77777777" w:rsidR="00C41768" w:rsidRPr="00C41768" w:rsidRDefault="00C41768" w:rsidP="00C41768">
      <w:pPr>
        <w:numPr>
          <w:ilvl w:val="1"/>
          <w:numId w:val="13"/>
        </w:numPr>
        <w:autoSpaceDE w:val="0"/>
        <w:autoSpaceDN w:val="0"/>
        <w:adjustRightInd w:val="0"/>
        <w:spacing w:after="0" w:line="36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Prihodi od prodaje nefinancijske imovine</w:t>
      </w:r>
    </w:p>
    <w:p w14:paraId="5D0FB77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Prihodi od prodaje nefinancijske imovine planiraju se za 2026. godinu u iznosu</w:t>
      </w:r>
    </w:p>
    <w:p w14:paraId="3EFE921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r w:rsidRPr="00C41768">
        <w:rPr>
          <w:rFonts w:ascii="Arial" w:eastAsia="Times New Roman" w:hAnsi="Arial" w:cs="Arial"/>
          <w:kern w:val="0"/>
          <w:sz w:val="24"/>
          <w:szCs w:val="24"/>
          <w:lang w:eastAsia="hr-HR"/>
          <w14:ligatures w14:val="none"/>
        </w:rPr>
        <w:t>od  151.300,00</w:t>
      </w:r>
      <w:r w:rsidRPr="00C41768">
        <w:rPr>
          <w:rFonts w:ascii="Arial" w:eastAsia="Times New Roman" w:hAnsi="Arial" w:cs="Arial"/>
          <w:color w:val="000000"/>
          <w:kern w:val="0"/>
          <w:sz w:val="24"/>
          <w:szCs w:val="24"/>
          <w:lang w:eastAsia="hr-HR"/>
          <w14:ligatures w14:val="none"/>
        </w:rPr>
        <w:t xml:space="preserve"> eura, a to su:</w:t>
      </w:r>
    </w:p>
    <w:p w14:paraId="473692B5" w14:textId="77777777" w:rsidR="00C41768" w:rsidRPr="00C41768" w:rsidRDefault="00C41768" w:rsidP="00C41768">
      <w:pPr>
        <w:numPr>
          <w:ilvl w:val="0"/>
          <w:numId w:val="14"/>
        </w:numPr>
        <w:autoSpaceDE w:val="0"/>
        <w:autoSpaceDN w:val="0"/>
        <w:adjustRightInd w:val="0"/>
        <w:spacing w:after="0" w:line="240" w:lineRule="auto"/>
        <w:ind w:left="1287" w:hanging="436"/>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prodaje neproizvedene dugotrajne imovine </w:t>
      </w:r>
    </w:p>
    <w:p w14:paraId="13A6FF40" w14:textId="77777777" w:rsidR="00C41768" w:rsidRPr="00C41768" w:rsidRDefault="00C41768" w:rsidP="00C41768">
      <w:pPr>
        <w:numPr>
          <w:ilvl w:val="0"/>
          <w:numId w:val="14"/>
        </w:numPr>
        <w:autoSpaceDE w:val="0"/>
        <w:autoSpaceDN w:val="0"/>
        <w:adjustRightInd w:val="0"/>
        <w:spacing w:after="0" w:line="240" w:lineRule="auto"/>
        <w:ind w:left="1276" w:hanging="425"/>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Prihodi od prodaje proizvedene dugotrajne imovine </w:t>
      </w:r>
    </w:p>
    <w:p w14:paraId="089AF76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C11998F" w14:textId="77777777" w:rsidR="00C41768" w:rsidRPr="00C41768" w:rsidRDefault="00C41768" w:rsidP="00C41768">
      <w:pPr>
        <w:numPr>
          <w:ilvl w:val="0"/>
          <w:numId w:val="14"/>
        </w:numPr>
        <w:autoSpaceDE w:val="0"/>
        <w:autoSpaceDN w:val="0"/>
        <w:adjustRightInd w:val="0"/>
        <w:spacing w:after="0" w:line="240" w:lineRule="auto"/>
        <w:ind w:left="142" w:hanging="142"/>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lastRenderedPageBreak/>
        <w:t xml:space="preserve">       Prihodi od prodaje neproizvedene dugotrajne imovine </w:t>
      </w:r>
    </w:p>
    <w:p w14:paraId="0A3CE1D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p>
    <w:p w14:paraId="5CAF9A6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Prihodi od prodaje neproizvedene dugotrajne imovine (zemljišta) planiraju se u iznosu  </w:t>
      </w:r>
      <w:r w:rsidRPr="00C41768">
        <w:rPr>
          <w:rFonts w:ascii="Arial" w:eastAsia="Times New Roman" w:hAnsi="Arial" w:cs="Arial"/>
          <w:kern w:val="0"/>
          <w:sz w:val="24"/>
          <w:szCs w:val="24"/>
          <w:lang w:eastAsia="hr-HR"/>
          <w14:ligatures w14:val="none"/>
        </w:rPr>
        <w:t>od  140.000,00 eura</w:t>
      </w:r>
    </w:p>
    <w:p w14:paraId="57C2C02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5525921" w14:textId="77777777" w:rsidR="00C41768" w:rsidRPr="00C41768" w:rsidRDefault="00C41768" w:rsidP="00C41768">
      <w:pPr>
        <w:numPr>
          <w:ilvl w:val="0"/>
          <w:numId w:val="14"/>
        </w:numPr>
        <w:autoSpaceDE w:val="0"/>
        <w:autoSpaceDN w:val="0"/>
        <w:adjustRightInd w:val="0"/>
        <w:spacing w:after="0" w:line="240" w:lineRule="auto"/>
        <w:ind w:hanging="1211"/>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Prihodi od prodaje proizvedene dugotrajne imovine</w:t>
      </w:r>
    </w:p>
    <w:p w14:paraId="2332335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7E836B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Prihodi od prodaje proizvedene dugotrajne imovine (građevinski objekti-</w:t>
      </w:r>
    </w:p>
    <w:p w14:paraId="0289025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stanovi na koji postoji stanarsko pravo) planiraju se u iznosu </w:t>
      </w:r>
      <w:r w:rsidRPr="00C41768">
        <w:rPr>
          <w:rFonts w:ascii="Arial" w:eastAsia="Times New Roman" w:hAnsi="Arial" w:cs="Arial"/>
          <w:kern w:val="0"/>
          <w:sz w:val="24"/>
          <w:szCs w:val="24"/>
          <w:lang w:eastAsia="hr-HR"/>
          <w14:ligatures w14:val="none"/>
        </w:rPr>
        <w:t>od  11.300,00</w:t>
      </w:r>
      <w:r w:rsidRPr="00C41768">
        <w:rPr>
          <w:rFonts w:ascii="Arial" w:eastAsia="Times New Roman" w:hAnsi="Arial" w:cs="Arial"/>
          <w:color w:val="000000"/>
          <w:kern w:val="0"/>
          <w:sz w:val="24"/>
          <w:szCs w:val="24"/>
          <w:lang w:eastAsia="hr-HR"/>
          <w14:ligatures w14:val="none"/>
        </w:rPr>
        <w:t xml:space="preserve"> eura.</w:t>
      </w:r>
    </w:p>
    <w:p w14:paraId="512633EB"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41A2AE2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9005B66" w14:textId="77777777" w:rsidR="00C41768" w:rsidRPr="00C41768" w:rsidRDefault="00C41768" w:rsidP="00C41768">
      <w:pPr>
        <w:numPr>
          <w:ilvl w:val="0"/>
          <w:numId w:val="13"/>
        </w:numPr>
        <w:autoSpaceDE w:val="0"/>
        <w:autoSpaceDN w:val="0"/>
        <w:adjustRightInd w:val="0"/>
        <w:spacing w:after="0" w:line="240" w:lineRule="auto"/>
        <w:ind w:left="426"/>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 xml:space="preserve">  RASHODI PRORAČUNA – PO EKONOMSKOJ KLASIFIKACIJI</w:t>
      </w:r>
    </w:p>
    <w:p w14:paraId="3DBF1F3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81E301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Rashodi proračuna Grada Donjeg Miholjca za 2026. godinu planiraju se u iznosu </w:t>
      </w:r>
    </w:p>
    <w:p w14:paraId="6926CBE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od 11.913.398,75 euro, što predstavlja smanjenje u odnosu na 2025. godinu. Rashodi se sastoje od rashoda poslovanja i rashoda za nabavu nefinancijske imovine. </w:t>
      </w:r>
    </w:p>
    <w:p w14:paraId="2B2DB2C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3303E4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CD31126" w14:textId="77777777" w:rsidR="00C41768" w:rsidRPr="00C41768" w:rsidRDefault="00C41768" w:rsidP="00C41768">
      <w:pPr>
        <w:numPr>
          <w:ilvl w:val="1"/>
          <w:numId w:val="13"/>
        </w:num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Rashodi poslovanja</w:t>
      </w:r>
    </w:p>
    <w:p w14:paraId="0845BE58"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76A3D9C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Rashodi poslovanja se u 2026. godini planiraju u iznosu  od 7.210.974,41 eura.  Obzirom na vrstu rashoda, u 2026. godini, planiraju se:</w:t>
      </w:r>
    </w:p>
    <w:p w14:paraId="06E6C71E"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zaposlene</w:t>
      </w:r>
    </w:p>
    <w:p w14:paraId="5E718E4E"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Materijalni rashodi</w:t>
      </w:r>
    </w:p>
    <w:p w14:paraId="456D4052"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Financijski rashodi</w:t>
      </w:r>
    </w:p>
    <w:p w14:paraId="0B49588B"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subvencije</w:t>
      </w:r>
    </w:p>
    <w:p w14:paraId="17D67C4E"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Naknade građanima i kućanstvima na temelju osiguranja i druge naknade</w:t>
      </w:r>
    </w:p>
    <w:p w14:paraId="1A6B6B78"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donacije, kazne, naknade šteta i kapitalne pomoći</w:t>
      </w:r>
    </w:p>
    <w:p w14:paraId="260697B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5F7E987"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zaposlene</w:t>
      </w:r>
    </w:p>
    <w:p w14:paraId="72C6BEE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D967C1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Rashode za zaposlene čine:</w:t>
      </w:r>
    </w:p>
    <w:p w14:paraId="21241012"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plaće zaposlenih u iznosu od 2.040.922,24 eura</w:t>
      </w:r>
    </w:p>
    <w:p w14:paraId="7F894A77"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ostali rashodi za zaposlene u iznosu od 184.650,00 eura</w:t>
      </w:r>
    </w:p>
    <w:p w14:paraId="50FAC5D1"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doprinosi na plaće, a planiraju se u iznosu od 304.227,76 eura.         </w:t>
      </w:r>
    </w:p>
    <w:p w14:paraId="3F83D63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FBED0E8"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Materijalni rashodi</w:t>
      </w:r>
    </w:p>
    <w:p w14:paraId="1661199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61F905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Materijalne rashodi čine:</w:t>
      </w:r>
    </w:p>
    <w:p w14:paraId="23F2502D"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naknade troškova zaposlenima u iznosu od 119.830,00 eura</w:t>
      </w:r>
    </w:p>
    <w:p w14:paraId="21FA82A6"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rashodi za materijal i energiju u iznosu od 414.829,50 eura</w:t>
      </w:r>
    </w:p>
    <w:p w14:paraId="2272EBE7"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rashodi za usluge planiraju se u iznosu od 1.412.090,91 eura</w:t>
      </w:r>
    </w:p>
    <w:p w14:paraId="2DD0CF57"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ostali nespomenuti rashodi poslovanja se planiraju u iznosu od 378.834,00   eura.</w:t>
      </w:r>
    </w:p>
    <w:p w14:paraId="3EAF0EF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CDD7204"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Financijski rashodi</w:t>
      </w:r>
    </w:p>
    <w:p w14:paraId="366BF95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748678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Financijske rashode čine:</w:t>
      </w:r>
    </w:p>
    <w:p w14:paraId="5FB95EDE"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kamate za primljene kredite i zajmove u visini 24.000,00 eura</w:t>
      </w:r>
    </w:p>
    <w:p w14:paraId="657951E6"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ostali financijski rashodi, a planiraju se u visini od  22.310,00 eura</w:t>
      </w:r>
    </w:p>
    <w:p w14:paraId="7A47C9E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F1AA673"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subvencije</w:t>
      </w:r>
    </w:p>
    <w:p w14:paraId="2C704E57" w14:textId="302B74DA" w:rsidR="007A17BA" w:rsidRDefault="007A17BA">
      <w:pPr>
        <w:rPr>
          <w:rFonts w:ascii="Arial" w:eastAsia="Times New Roman" w:hAnsi="Arial" w:cs="Arial"/>
          <w:color w:val="000000"/>
          <w:kern w:val="0"/>
          <w:sz w:val="24"/>
          <w:szCs w:val="24"/>
          <w:lang w:eastAsia="hr-HR"/>
          <w14:ligatures w14:val="none"/>
        </w:rPr>
      </w:pPr>
      <w:r>
        <w:rPr>
          <w:rFonts w:ascii="Arial" w:eastAsia="Times New Roman" w:hAnsi="Arial" w:cs="Arial"/>
          <w:color w:val="000000"/>
          <w:kern w:val="0"/>
          <w:sz w:val="24"/>
          <w:szCs w:val="24"/>
          <w:lang w:eastAsia="hr-HR"/>
          <w14:ligatures w14:val="none"/>
        </w:rPr>
        <w:br w:type="page"/>
      </w:r>
    </w:p>
    <w:p w14:paraId="0E2E9F7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B7A1AC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subvencije se sastoje od:</w:t>
      </w:r>
    </w:p>
    <w:p w14:paraId="4662F0FB"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subvencija kreditnim i ostalim financijskim institucijama i trgovačkim društvima u javnom sektoru u iznosu od 125.000,00 eura</w:t>
      </w:r>
    </w:p>
    <w:p w14:paraId="5CC3A42D"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subvencija kreditnim i financijskim institucijama,trgovačkim društvima, zadrugama, poljoprivrednicima i obrtnicima izvan javnog sektora a planiraju se u iznosu od  149.500,00 eura.</w:t>
      </w:r>
    </w:p>
    <w:p w14:paraId="587E27C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AC866BC"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naknade građanima i kućanstvima na temelju osiguranja i druge</w:t>
      </w:r>
    </w:p>
    <w:p w14:paraId="751A470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naknade</w:t>
      </w:r>
    </w:p>
    <w:p w14:paraId="0C231CB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A11CEE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Naknade građanima i kućanstvima na temelju osiguranja i druge naknade</w:t>
      </w:r>
    </w:p>
    <w:p w14:paraId="583C659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odnose se na:</w:t>
      </w:r>
    </w:p>
    <w:p w14:paraId="20131A1E"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ostale naknade građanima i kućanstvima iz proračuna a planiraju se u iznosu od  353.000,00 eura</w:t>
      </w:r>
    </w:p>
    <w:p w14:paraId="17DDC1D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16175B9"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donacije, kazne, naknade šteta i kapitalne pomoći</w:t>
      </w:r>
    </w:p>
    <w:p w14:paraId="02EE0B4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133912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donacije, kazne, naknade šteta i kapitalne pomoći čine:</w:t>
      </w:r>
    </w:p>
    <w:p w14:paraId="3254C117"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tekuće donacije u iznosu od 1.247.080,00 eura</w:t>
      </w:r>
    </w:p>
    <w:p w14:paraId="78806F1B"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kapitalne donacije u iznosu od 120.000,00 eura</w:t>
      </w:r>
    </w:p>
    <w:p w14:paraId="7233511C"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kazne, penali i naknada štete u iznosu od 7.700,00 eura</w:t>
      </w:r>
    </w:p>
    <w:p w14:paraId="35BB8FCA"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izvanredni rashodi u iznosu od 7.000,00 eura</w:t>
      </w:r>
    </w:p>
    <w:p w14:paraId="77881285"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te kapitalne pomoći a planiraju se u iznosu od 300.000,00 eura.  </w:t>
      </w:r>
    </w:p>
    <w:p w14:paraId="3A3B65D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3BF9858" w14:textId="77777777" w:rsidR="00C41768" w:rsidRPr="00C41768" w:rsidRDefault="00C41768" w:rsidP="00C41768">
      <w:pPr>
        <w:numPr>
          <w:ilvl w:val="1"/>
          <w:numId w:val="13"/>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Rashodi za nabavu nefinancijske imovine</w:t>
      </w:r>
    </w:p>
    <w:p w14:paraId="38441F4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8704F7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Rashodi za nabavu nefinancijske imovine za 2026. godinu planiraju se u visini </w:t>
      </w:r>
    </w:p>
    <w:p w14:paraId="77A65BC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od 4.702.424,34 eura, a to su:</w:t>
      </w:r>
    </w:p>
    <w:p w14:paraId="441CCF2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0447CAA"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nabavu neproizvedene dugotrajne imovine</w:t>
      </w:r>
    </w:p>
    <w:p w14:paraId="7E6F49A4"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nabavu proizvedene dugotrajne imovine</w:t>
      </w:r>
    </w:p>
    <w:p w14:paraId="6E6A5F1C" w14:textId="6DE3B16C"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dodatna ulaganja na nefinancijskoj imovini</w:t>
      </w:r>
    </w:p>
    <w:p w14:paraId="01CFB60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887D463" w14:textId="77777777" w:rsidR="00C41768" w:rsidRPr="00C41768" w:rsidRDefault="00C41768" w:rsidP="00C41768">
      <w:pPr>
        <w:numPr>
          <w:ilvl w:val="0"/>
          <w:numId w:val="14"/>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nabavu neproizvedene  dugotrajne imovine</w:t>
      </w:r>
    </w:p>
    <w:p w14:paraId="2DEB8E4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0BDAF4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nabavu neproizvede dugotrajne imovine čine:</w:t>
      </w:r>
    </w:p>
    <w:p w14:paraId="47FB0CB1"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FF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materijalna imovina-prirodna bogatstva u iznosu od 20.000,00 eura</w:t>
      </w:r>
      <w:r w:rsidRPr="00C41768">
        <w:rPr>
          <w:rFonts w:ascii="Arial" w:eastAsia="Times New Roman" w:hAnsi="Arial" w:cs="Arial"/>
          <w:color w:val="FF0000"/>
          <w:kern w:val="0"/>
          <w:sz w:val="24"/>
          <w:szCs w:val="24"/>
          <w:lang w:eastAsia="hr-HR"/>
          <w14:ligatures w14:val="none"/>
        </w:rPr>
        <w:t xml:space="preserve"> </w:t>
      </w:r>
    </w:p>
    <w:p w14:paraId="0522B57A"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kern w:val="0"/>
          <w:sz w:val="24"/>
          <w:szCs w:val="24"/>
          <w:lang w:eastAsia="hr-HR"/>
          <w14:ligatures w14:val="none"/>
        </w:rPr>
        <w:t xml:space="preserve"> nematerijalna imovina a planiraju se u iznosu od</w:t>
      </w:r>
      <w:r w:rsidRPr="00C41768">
        <w:rPr>
          <w:rFonts w:ascii="Arial" w:eastAsia="Times New Roman" w:hAnsi="Arial" w:cs="Arial"/>
          <w:color w:val="FF0000"/>
          <w:kern w:val="0"/>
          <w:sz w:val="24"/>
          <w:szCs w:val="24"/>
          <w:lang w:eastAsia="hr-HR"/>
          <w14:ligatures w14:val="none"/>
        </w:rPr>
        <w:t xml:space="preserve">  </w:t>
      </w:r>
      <w:r w:rsidRPr="00C41768">
        <w:rPr>
          <w:rFonts w:ascii="Arial" w:eastAsia="Times New Roman" w:hAnsi="Arial" w:cs="Arial"/>
          <w:color w:val="000000"/>
          <w:kern w:val="0"/>
          <w:sz w:val="24"/>
          <w:szCs w:val="24"/>
          <w:lang w:eastAsia="hr-HR"/>
          <w14:ligatures w14:val="none"/>
        </w:rPr>
        <w:t>372.000,00 eura.</w:t>
      </w:r>
    </w:p>
    <w:p w14:paraId="1F98AE4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F6208DF" w14:textId="77777777" w:rsidR="00C41768" w:rsidRPr="00C41768" w:rsidRDefault="00C41768" w:rsidP="00C41768">
      <w:pPr>
        <w:numPr>
          <w:ilvl w:val="0"/>
          <w:numId w:val="17"/>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nabavu proizvedene dugotrajne imovine</w:t>
      </w:r>
    </w:p>
    <w:p w14:paraId="2EFB264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3F7843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nabavu proizvedene dugotrajne imovine sastoje se od:</w:t>
      </w:r>
    </w:p>
    <w:p w14:paraId="79994FA8"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građevinskih objekata u iznosu od 3.050.000,00 eura</w:t>
      </w:r>
    </w:p>
    <w:p w14:paraId="0991DA18"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postrojenja i opreme u iznosu od 286.324,34 eura</w:t>
      </w:r>
    </w:p>
    <w:p w14:paraId="3B687A26"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knjige, umjetnička djela i ostale izložbene vrijednosti u iznosu od  26.600,00 eura.</w:t>
      </w:r>
    </w:p>
    <w:p w14:paraId="3222DCD2"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Nematerijalna proizvedena imovina u iznosu od 46.500,00 eura</w:t>
      </w:r>
    </w:p>
    <w:p w14:paraId="7E7E360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AEBD7A1" w14:textId="77777777" w:rsidR="00C41768" w:rsidRPr="00C41768" w:rsidRDefault="00C41768" w:rsidP="00C41768">
      <w:pPr>
        <w:numPr>
          <w:ilvl w:val="0"/>
          <w:numId w:val="17"/>
        </w:numPr>
        <w:autoSpaceDE w:val="0"/>
        <w:autoSpaceDN w:val="0"/>
        <w:adjustRightInd w:val="0"/>
        <w:spacing w:after="0" w:line="240" w:lineRule="auto"/>
        <w:ind w:hanging="720"/>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dodatna ulaganja na nefinancijskoj imovini</w:t>
      </w:r>
    </w:p>
    <w:p w14:paraId="54BC05B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C35241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Rashodi za dodatna ulaganja na nefinancijskoj imovini čine:</w:t>
      </w:r>
    </w:p>
    <w:p w14:paraId="2DB64692"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dodatna ulaganja na građevinskim objektima 877.000,00 eura</w:t>
      </w:r>
    </w:p>
    <w:p w14:paraId="44BE1C11" w14:textId="77777777" w:rsidR="00C41768" w:rsidRPr="00C41768" w:rsidRDefault="00C41768" w:rsidP="00C41768">
      <w:pPr>
        <w:numPr>
          <w:ilvl w:val="0"/>
          <w:numId w:val="15"/>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dodatna ulaganja na postrojenjima i opremi u iznosu od 24.000,00 eura. </w:t>
      </w:r>
    </w:p>
    <w:p w14:paraId="4C47878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F27073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74D3D52"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3.    RASHODI PREMA FUNKCIJSKOJ KLASIFIKACIJI</w:t>
      </w:r>
      <w:r w:rsidRPr="00C41768">
        <w:rPr>
          <w:rFonts w:ascii="Arial" w:eastAsia="Times New Roman" w:hAnsi="Arial" w:cs="Arial"/>
          <w:color w:val="000000"/>
          <w:kern w:val="0"/>
          <w:sz w:val="24"/>
          <w:szCs w:val="24"/>
          <w:lang w:eastAsia="hr-HR"/>
          <w14:ligatures w14:val="none"/>
        </w:rPr>
        <w:t xml:space="preserve"> </w:t>
      </w:r>
    </w:p>
    <w:p w14:paraId="7936595D"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350F382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Člankom 29. Zakona o proračunu propisuje se obveza da JLP(R)S u Općem dijelu proračuna u Računu prihoda i rashoda, rashode iskažu i prema funkcijskoj klasifikaciji.</w:t>
      </w:r>
    </w:p>
    <w:p w14:paraId="51ECA9D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F3D902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7CFEE39"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4.    RAČUN FINANCIRANJA</w:t>
      </w:r>
    </w:p>
    <w:p w14:paraId="7EF2FA9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A85474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Primici od kratkotrajnog zaduživanja planiraju se u 2026. godini u iznosu  od 1.300.000,00 eura. </w:t>
      </w:r>
    </w:p>
    <w:p w14:paraId="760B69F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EEC40E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881DB2B"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 xml:space="preserve">5.   RASHODI I IZDACI PRORAČUNA GRADA </w:t>
      </w:r>
    </w:p>
    <w:p w14:paraId="68C1DBE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01D5014" w14:textId="77777777" w:rsidR="00C41768" w:rsidRPr="00C41768" w:rsidRDefault="00C41768" w:rsidP="00C41768">
      <w:pPr>
        <w:numPr>
          <w:ilvl w:val="1"/>
          <w:numId w:val="21"/>
        </w:num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Rashodi i izdaci proračuna po organizacijskoj klasifikaciji</w:t>
      </w:r>
    </w:p>
    <w:p w14:paraId="2F960D7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A8EA3C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Organizacijska struktura proračuna prikazuje raspored sredstava planiranih u </w:t>
      </w:r>
    </w:p>
    <w:p w14:paraId="3D2D1F0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proračunu po razdjelima, glavama i proračunskim korisnicima. Organizacijska  struktura proračuna Grada Donjeg Miholjca u nastavku se daje tablični prikaz sredstava raspoređenih po razdjelima, glavama i proračunskim korisnicima.</w:t>
      </w:r>
    </w:p>
    <w:p w14:paraId="070CD37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21980B5" w14:textId="77777777" w:rsidR="00C41768" w:rsidRPr="00C41768" w:rsidRDefault="00C41768" w:rsidP="00C41768">
      <w:pPr>
        <w:autoSpaceDE w:val="0"/>
        <w:autoSpaceDN w:val="0"/>
        <w:adjustRightInd w:val="0"/>
        <w:spacing w:after="0" w:line="240" w:lineRule="auto"/>
        <w:ind w:right="283"/>
        <w:jc w:val="both"/>
        <w:rPr>
          <w:rFonts w:ascii="Arial" w:eastAsia="Times New Roman" w:hAnsi="Arial" w:cs="Arial"/>
          <w:color w:val="000000"/>
          <w:kern w:val="0"/>
          <w:sz w:val="24"/>
          <w:szCs w:val="24"/>
          <w:lang w:eastAsia="hr-H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89"/>
        <w:gridCol w:w="1993"/>
        <w:gridCol w:w="1799"/>
        <w:gridCol w:w="1802"/>
        <w:gridCol w:w="1802"/>
        <w:gridCol w:w="1797"/>
      </w:tblGrid>
      <w:tr w:rsidR="00C41768" w:rsidRPr="00C41768" w14:paraId="3A8F6009" w14:textId="77777777" w:rsidTr="005B5D4C">
        <w:trPr>
          <w:trHeight w:val="589"/>
        </w:trPr>
        <w:tc>
          <w:tcPr>
            <w:tcW w:w="362" w:type="pct"/>
          </w:tcPr>
          <w:p w14:paraId="776B589F" w14:textId="77777777" w:rsidR="00C41768" w:rsidRPr="00C41768" w:rsidRDefault="00C41768" w:rsidP="00C41768">
            <w:pPr>
              <w:spacing w:after="0" w:line="240" w:lineRule="auto"/>
              <w:rPr>
                <w:rFonts w:ascii="Arial" w:eastAsia="Times New Roman" w:hAnsi="Arial" w:cs="Arial"/>
                <w:b/>
                <w:bCs/>
                <w:kern w:val="0"/>
                <w:lang w:eastAsia="hr-HR"/>
                <w14:ligatures w14:val="none"/>
              </w:rPr>
            </w:pPr>
            <w:bookmarkStart w:id="0" w:name="_Hlk213658171"/>
            <w:r w:rsidRPr="00C41768">
              <w:rPr>
                <w:rFonts w:ascii="Arial" w:eastAsia="Times New Roman" w:hAnsi="Arial" w:cs="Arial"/>
                <w:b/>
                <w:bCs/>
                <w:kern w:val="0"/>
                <w:lang w:eastAsia="hr-HR"/>
                <w14:ligatures w14:val="none"/>
              </w:rPr>
              <w:t>Raz</w:t>
            </w:r>
          </w:p>
          <w:p w14:paraId="6C33C6CB" w14:textId="77777777" w:rsidR="00C41768" w:rsidRPr="00C41768" w:rsidRDefault="00C41768" w:rsidP="00C41768">
            <w:pPr>
              <w:spacing w:after="0" w:line="240" w:lineRule="auto"/>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adjel</w:t>
            </w:r>
          </w:p>
        </w:tc>
        <w:tc>
          <w:tcPr>
            <w:tcW w:w="366" w:type="pct"/>
          </w:tcPr>
          <w:p w14:paraId="195E3D7A" w14:textId="77777777" w:rsidR="00C41768" w:rsidRPr="00C41768" w:rsidRDefault="00C41768" w:rsidP="00C41768">
            <w:pPr>
              <w:spacing w:after="0" w:line="240" w:lineRule="auto"/>
              <w:rPr>
                <w:rFonts w:ascii="Arial" w:eastAsia="Times New Roman" w:hAnsi="Arial" w:cs="Arial"/>
                <w:b/>
                <w:bCs/>
                <w:kern w:val="0"/>
                <w:sz w:val="20"/>
                <w:szCs w:val="20"/>
                <w:lang w:eastAsia="hr-HR"/>
                <w14:ligatures w14:val="none"/>
              </w:rPr>
            </w:pPr>
            <w:r w:rsidRPr="00C41768">
              <w:rPr>
                <w:rFonts w:ascii="Arial" w:eastAsia="Times New Roman" w:hAnsi="Arial" w:cs="Arial"/>
                <w:b/>
                <w:bCs/>
                <w:kern w:val="0"/>
                <w:sz w:val="20"/>
                <w:szCs w:val="20"/>
                <w:lang w:eastAsia="hr-HR"/>
                <w14:ligatures w14:val="none"/>
              </w:rPr>
              <w:t>Glav</w:t>
            </w:r>
          </w:p>
          <w:p w14:paraId="4F69422B" w14:textId="77777777" w:rsidR="00C41768" w:rsidRPr="00C41768" w:rsidRDefault="00C41768" w:rsidP="00C41768">
            <w:pPr>
              <w:spacing w:after="0" w:line="240" w:lineRule="auto"/>
              <w:rPr>
                <w:rFonts w:ascii="Arial" w:eastAsia="Times New Roman" w:hAnsi="Arial" w:cs="Arial"/>
                <w:b/>
                <w:bCs/>
                <w:kern w:val="0"/>
                <w:lang w:eastAsia="hr-HR"/>
                <w14:ligatures w14:val="none"/>
              </w:rPr>
            </w:pPr>
            <w:r w:rsidRPr="00C41768">
              <w:rPr>
                <w:rFonts w:ascii="Arial" w:eastAsia="Times New Roman" w:hAnsi="Arial" w:cs="Arial"/>
                <w:b/>
                <w:bCs/>
                <w:kern w:val="0"/>
                <w:sz w:val="20"/>
                <w:szCs w:val="20"/>
                <w:lang w:eastAsia="hr-HR"/>
                <w14:ligatures w14:val="none"/>
              </w:rPr>
              <w:t>a</w:t>
            </w:r>
          </w:p>
        </w:tc>
        <w:tc>
          <w:tcPr>
            <w:tcW w:w="926" w:type="pct"/>
          </w:tcPr>
          <w:p w14:paraId="141C4517" w14:textId="77777777" w:rsidR="00C41768" w:rsidRPr="00C41768" w:rsidRDefault="00C41768" w:rsidP="00C41768">
            <w:pPr>
              <w:spacing w:after="0" w:line="240" w:lineRule="auto"/>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Naziv</w:t>
            </w:r>
          </w:p>
        </w:tc>
        <w:tc>
          <w:tcPr>
            <w:tcW w:w="836" w:type="pct"/>
          </w:tcPr>
          <w:p w14:paraId="1B933230"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Ostvarenje</w:t>
            </w:r>
          </w:p>
          <w:p w14:paraId="78F92311"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2024.</w:t>
            </w:r>
          </w:p>
        </w:tc>
        <w:tc>
          <w:tcPr>
            <w:tcW w:w="837" w:type="pct"/>
          </w:tcPr>
          <w:p w14:paraId="08C335E5"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Plan 2026.</w:t>
            </w:r>
          </w:p>
          <w:p w14:paraId="43F74944"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p>
        </w:tc>
        <w:tc>
          <w:tcPr>
            <w:tcW w:w="837" w:type="pct"/>
          </w:tcPr>
          <w:p w14:paraId="00C27C97"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Projekcija</w:t>
            </w:r>
          </w:p>
          <w:p w14:paraId="403259E3"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2027.</w:t>
            </w:r>
          </w:p>
        </w:tc>
        <w:tc>
          <w:tcPr>
            <w:tcW w:w="835" w:type="pct"/>
          </w:tcPr>
          <w:p w14:paraId="66AF39AC" w14:textId="77777777" w:rsidR="00C41768" w:rsidRPr="00C41768" w:rsidRDefault="00C41768" w:rsidP="00C41768">
            <w:pPr>
              <w:spacing w:after="0" w:line="240" w:lineRule="auto"/>
              <w:jc w:val="center"/>
              <w:rPr>
                <w:rFonts w:ascii="Arial" w:eastAsia="Times New Roman" w:hAnsi="Arial" w:cs="Arial"/>
                <w:b/>
                <w:bCs/>
                <w:kern w:val="0"/>
                <w:lang w:eastAsia="hr-HR"/>
                <w14:ligatures w14:val="none"/>
              </w:rPr>
            </w:pPr>
            <w:r w:rsidRPr="00C41768">
              <w:rPr>
                <w:rFonts w:ascii="Arial" w:eastAsia="Times New Roman" w:hAnsi="Arial" w:cs="Arial"/>
                <w:b/>
                <w:bCs/>
                <w:kern w:val="0"/>
                <w:lang w:eastAsia="hr-HR"/>
                <w14:ligatures w14:val="none"/>
              </w:rPr>
              <w:t>Projekcija</w:t>
            </w:r>
          </w:p>
          <w:p w14:paraId="6B44697A" w14:textId="77777777" w:rsidR="00C41768" w:rsidRPr="00C41768" w:rsidRDefault="00C41768" w:rsidP="00C41768">
            <w:pPr>
              <w:spacing w:after="0" w:line="240" w:lineRule="auto"/>
              <w:jc w:val="center"/>
              <w:rPr>
                <w:rFonts w:ascii="Arial" w:eastAsia="Times New Roman" w:hAnsi="Arial" w:cs="Arial"/>
                <w:b/>
                <w:bCs/>
                <w:kern w:val="0"/>
                <w:sz w:val="24"/>
                <w:szCs w:val="24"/>
                <w:lang w:eastAsia="hr-HR"/>
                <w14:ligatures w14:val="none"/>
              </w:rPr>
            </w:pPr>
            <w:r w:rsidRPr="00C41768">
              <w:rPr>
                <w:rFonts w:ascii="Arial" w:eastAsia="Times New Roman" w:hAnsi="Arial" w:cs="Arial"/>
                <w:b/>
                <w:bCs/>
                <w:kern w:val="0"/>
                <w:lang w:eastAsia="hr-HR"/>
                <w14:ligatures w14:val="none"/>
              </w:rPr>
              <w:t>2028.</w:t>
            </w:r>
          </w:p>
        </w:tc>
      </w:tr>
      <w:tr w:rsidR="00C41768" w:rsidRPr="00C41768" w14:paraId="5B578E92" w14:textId="77777777" w:rsidTr="005B5D4C">
        <w:tc>
          <w:tcPr>
            <w:tcW w:w="362" w:type="pct"/>
          </w:tcPr>
          <w:p w14:paraId="296416B5"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001</w:t>
            </w:r>
          </w:p>
        </w:tc>
        <w:tc>
          <w:tcPr>
            <w:tcW w:w="366" w:type="pct"/>
          </w:tcPr>
          <w:p w14:paraId="7FC7E4A2"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101</w:t>
            </w:r>
          </w:p>
        </w:tc>
        <w:tc>
          <w:tcPr>
            <w:tcW w:w="926" w:type="pct"/>
            <w:vAlign w:val="center"/>
          </w:tcPr>
          <w:p w14:paraId="329B149C"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Grad.vijeće, </w:t>
            </w:r>
          </w:p>
          <w:p w14:paraId="027284F5"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gradonačelnik i </w:t>
            </w:r>
          </w:p>
          <w:p w14:paraId="7E636E23"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odbori</w:t>
            </w:r>
          </w:p>
        </w:tc>
        <w:tc>
          <w:tcPr>
            <w:tcW w:w="836" w:type="pct"/>
          </w:tcPr>
          <w:p w14:paraId="47852B54"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272.533,50</w:t>
            </w:r>
          </w:p>
        </w:tc>
        <w:tc>
          <w:tcPr>
            <w:tcW w:w="837" w:type="pct"/>
          </w:tcPr>
          <w:p w14:paraId="5ADC149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466.800,00</w:t>
            </w:r>
          </w:p>
        </w:tc>
        <w:tc>
          <w:tcPr>
            <w:tcW w:w="837" w:type="pct"/>
          </w:tcPr>
          <w:p w14:paraId="480F1EA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469.024,00</w:t>
            </w:r>
          </w:p>
        </w:tc>
        <w:tc>
          <w:tcPr>
            <w:tcW w:w="835" w:type="pct"/>
          </w:tcPr>
          <w:p w14:paraId="0718BEAC" w14:textId="77777777" w:rsidR="00C41768" w:rsidRPr="00C41768" w:rsidRDefault="00C41768" w:rsidP="00C41768">
            <w:pPr>
              <w:tabs>
                <w:tab w:val="left" w:pos="1027"/>
              </w:tabs>
              <w:spacing w:after="0" w:line="240" w:lineRule="auto"/>
              <w:ind w:right="142"/>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471.248,00</w:t>
            </w:r>
          </w:p>
        </w:tc>
      </w:tr>
      <w:tr w:rsidR="00C41768" w:rsidRPr="00C41768" w14:paraId="01866A2E" w14:textId="77777777" w:rsidTr="005B5D4C">
        <w:tc>
          <w:tcPr>
            <w:tcW w:w="362" w:type="pct"/>
          </w:tcPr>
          <w:p w14:paraId="490558D2"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6D2D4BB3"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102</w:t>
            </w:r>
          </w:p>
        </w:tc>
        <w:tc>
          <w:tcPr>
            <w:tcW w:w="926" w:type="pct"/>
            <w:vAlign w:val="center"/>
          </w:tcPr>
          <w:p w14:paraId="7DBE02F1"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UO    I</w:t>
            </w:r>
          </w:p>
        </w:tc>
        <w:tc>
          <w:tcPr>
            <w:tcW w:w="836" w:type="pct"/>
          </w:tcPr>
          <w:p w14:paraId="7D83CD8F"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399.975,70</w:t>
            </w:r>
          </w:p>
        </w:tc>
        <w:tc>
          <w:tcPr>
            <w:tcW w:w="837" w:type="pct"/>
          </w:tcPr>
          <w:p w14:paraId="4471EA7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716.940,00</w:t>
            </w:r>
          </w:p>
        </w:tc>
        <w:tc>
          <w:tcPr>
            <w:tcW w:w="837" w:type="pct"/>
          </w:tcPr>
          <w:p w14:paraId="613C0F3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720.524,70</w:t>
            </w:r>
          </w:p>
        </w:tc>
        <w:tc>
          <w:tcPr>
            <w:tcW w:w="835" w:type="pct"/>
          </w:tcPr>
          <w:p w14:paraId="5820E88E"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724.109,40</w:t>
            </w:r>
          </w:p>
        </w:tc>
      </w:tr>
      <w:tr w:rsidR="00C41768" w:rsidRPr="00C41768" w14:paraId="3E7EB2D7" w14:textId="77777777" w:rsidTr="005B5D4C">
        <w:tc>
          <w:tcPr>
            <w:tcW w:w="362" w:type="pct"/>
          </w:tcPr>
          <w:p w14:paraId="1CA40AFB"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5C45EF5D"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103</w:t>
            </w:r>
          </w:p>
        </w:tc>
        <w:tc>
          <w:tcPr>
            <w:tcW w:w="926" w:type="pct"/>
            <w:vAlign w:val="center"/>
          </w:tcPr>
          <w:p w14:paraId="01FCA043"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UO   II</w:t>
            </w:r>
          </w:p>
        </w:tc>
        <w:tc>
          <w:tcPr>
            <w:tcW w:w="836" w:type="pct"/>
          </w:tcPr>
          <w:p w14:paraId="539CE17C"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151.578,01</w:t>
            </w:r>
          </w:p>
        </w:tc>
        <w:tc>
          <w:tcPr>
            <w:tcW w:w="837" w:type="pct"/>
          </w:tcPr>
          <w:p w14:paraId="4483464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296.510,00</w:t>
            </w:r>
          </w:p>
        </w:tc>
        <w:tc>
          <w:tcPr>
            <w:tcW w:w="837" w:type="pct"/>
          </w:tcPr>
          <w:p w14:paraId="7B2B5E9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297.992,55</w:t>
            </w:r>
          </w:p>
        </w:tc>
        <w:tc>
          <w:tcPr>
            <w:tcW w:w="835" w:type="pct"/>
          </w:tcPr>
          <w:p w14:paraId="49D9AAEA"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299.475,10</w:t>
            </w:r>
          </w:p>
        </w:tc>
      </w:tr>
      <w:tr w:rsidR="00C41768" w:rsidRPr="00C41768" w14:paraId="6CA2E28E" w14:textId="77777777" w:rsidTr="005B5D4C">
        <w:trPr>
          <w:trHeight w:val="400"/>
        </w:trPr>
        <w:tc>
          <w:tcPr>
            <w:tcW w:w="362" w:type="pct"/>
          </w:tcPr>
          <w:p w14:paraId="1D9FC829"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15CE8F82"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104</w:t>
            </w:r>
          </w:p>
        </w:tc>
        <w:tc>
          <w:tcPr>
            <w:tcW w:w="926" w:type="pct"/>
            <w:vAlign w:val="center"/>
          </w:tcPr>
          <w:p w14:paraId="30643410"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MO -  Opći </w:t>
            </w:r>
          </w:p>
          <w:p w14:paraId="0F2E0862"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rash.poslovanja</w:t>
            </w:r>
          </w:p>
        </w:tc>
        <w:tc>
          <w:tcPr>
            <w:tcW w:w="836" w:type="pct"/>
          </w:tcPr>
          <w:p w14:paraId="74043E6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205.202,00</w:t>
            </w:r>
          </w:p>
        </w:tc>
        <w:tc>
          <w:tcPr>
            <w:tcW w:w="837" w:type="pct"/>
          </w:tcPr>
          <w:p w14:paraId="61DB45CB"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340.600,00</w:t>
            </w:r>
          </w:p>
        </w:tc>
        <w:tc>
          <w:tcPr>
            <w:tcW w:w="837" w:type="pct"/>
          </w:tcPr>
          <w:p w14:paraId="34115C22"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342.198,00</w:t>
            </w:r>
          </w:p>
        </w:tc>
        <w:tc>
          <w:tcPr>
            <w:tcW w:w="835" w:type="pct"/>
          </w:tcPr>
          <w:p w14:paraId="1908409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343.821,00</w:t>
            </w:r>
          </w:p>
        </w:tc>
      </w:tr>
      <w:tr w:rsidR="00C41768" w:rsidRPr="00C41768" w14:paraId="1B018221" w14:textId="77777777" w:rsidTr="005B5D4C">
        <w:tc>
          <w:tcPr>
            <w:tcW w:w="362" w:type="pct"/>
          </w:tcPr>
          <w:p w14:paraId="3FDA4B89"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34909A9E"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2A885CB1"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Održ.kom.infraskstr</w:t>
            </w:r>
          </w:p>
        </w:tc>
        <w:tc>
          <w:tcPr>
            <w:tcW w:w="836" w:type="pct"/>
          </w:tcPr>
          <w:p w14:paraId="4C58BC1B"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1.948.369,39</w:t>
            </w:r>
          </w:p>
        </w:tc>
        <w:tc>
          <w:tcPr>
            <w:tcW w:w="837" w:type="pct"/>
          </w:tcPr>
          <w:p w14:paraId="03352E6E"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4.110.900,00</w:t>
            </w:r>
          </w:p>
        </w:tc>
        <w:tc>
          <w:tcPr>
            <w:tcW w:w="837" w:type="pct"/>
          </w:tcPr>
          <w:p w14:paraId="2A42E48A" w14:textId="77777777" w:rsidR="00C41768" w:rsidRPr="00C41768" w:rsidRDefault="00C41768" w:rsidP="00C41768">
            <w:pPr>
              <w:spacing w:after="0" w:line="240" w:lineRule="auto"/>
              <w:jc w:val="center"/>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3.373.204,49</w:t>
            </w:r>
          </w:p>
        </w:tc>
        <w:tc>
          <w:tcPr>
            <w:tcW w:w="835" w:type="pct"/>
          </w:tcPr>
          <w:p w14:paraId="63464CE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3.156.786,00</w:t>
            </w:r>
          </w:p>
        </w:tc>
      </w:tr>
      <w:tr w:rsidR="00C41768" w:rsidRPr="00C41768" w14:paraId="0E768677" w14:textId="77777777" w:rsidTr="005B5D4C">
        <w:tc>
          <w:tcPr>
            <w:tcW w:w="362" w:type="pct"/>
          </w:tcPr>
          <w:p w14:paraId="23E9ECA7"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60289324"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vAlign w:val="center"/>
          </w:tcPr>
          <w:p w14:paraId="0FA1A911"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Financijski </w:t>
            </w:r>
          </w:p>
          <w:p w14:paraId="47DFB49C"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rashodi</w:t>
            </w:r>
          </w:p>
        </w:tc>
        <w:tc>
          <w:tcPr>
            <w:tcW w:w="836" w:type="pct"/>
          </w:tcPr>
          <w:p w14:paraId="6C20B0CB"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44.449,83</w:t>
            </w:r>
          </w:p>
        </w:tc>
        <w:tc>
          <w:tcPr>
            <w:tcW w:w="837" w:type="pct"/>
          </w:tcPr>
          <w:p w14:paraId="3D2B39B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896.000,00</w:t>
            </w:r>
          </w:p>
        </w:tc>
        <w:tc>
          <w:tcPr>
            <w:tcW w:w="837" w:type="pct"/>
          </w:tcPr>
          <w:p w14:paraId="3E51A634"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96.480,00</w:t>
            </w:r>
          </w:p>
        </w:tc>
        <w:tc>
          <w:tcPr>
            <w:tcW w:w="835" w:type="pct"/>
          </w:tcPr>
          <w:p w14:paraId="5D61DD60"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96.960,00</w:t>
            </w:r>
          </w:p>
        </w:tc>
      </w:tr>
      <w:tr w:rsidR="00C41768" w:rsidRPr="00C41768" w14:paraId="462A1253" w14:textId="77777777" w:rsidTr="005B5D4C">
        <w:tc>
          <w:tcPr>
            <w:tcW w:w="362" w:type="pct"/>
          </w:tcPr>
          <w:p w14:paraId="74114DDB"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56E4C777"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21C4F247"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Komunalna </w:t>
            </w:r>
          </w:p>
          <w:p w14:paraId="1B8F63AA"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poduzeća</w:t>
            </w:r>
          </w:p>
        </w:tc>
        <w:tc>
          <w:tcPr>
            <w:tcW w:w="836" w:type="pct"/>
          </w:tcPr>
          <w:p w14:paraId="66EF2A60"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181.309,29</w:t>
            </w:r>
          </w:p>
        </w:tc>
        <w:tc>
          <w:tcPr>
            <w:tcW w:w="837" w:type="pct"/>
          </w:tcPr>
          <w:p w14:paraId="003998DE"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410.000,00</w:t>
            </w:r>
          </w:p>
        </w:tc>
        <w:tc>
          <w:tcPr>
            <w:tcW w:w="837" w:type="pct"/>
          </w:tcPr>
          <w:p w14:paraId="3CAA370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472.350,00</w:t>
            </w:r>
          </w:p>
        </w:tc>
        <w:tc>
          <w:tcPr>
            <w:tcW w:w="835" w:type="pct"/>
          </w:tcPr>
          <w:p w14:paraId="690D8166"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474.700,00</w:t>
            </w:r>
          </w:p>
        </w:tc>
      </w:tr>
      <w:tr w:rsidR="00C41768" w:rsidRPr="00C41768" w14:paraId="50132646" w14:textId="77777777" w:rsidTr="005B5D4C">
        <w:tc>
          <w:tcPr>
            <w:tcW w:w="362" w:type="pct"/>
          </w:tcPr>
          <w:p w14:paraId="570DE60C"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4B3F49C7"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55FE34F4"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Poticanje</w:t>
            </w:r>
          </w:p>
          <w:p w14:paraId="1442506E"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 razvoja </w:t>
            </w:r>
          </w:p>
          <w:p w14:paraId="4F1452FE"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gospodarstva</w:t>
            </w:r>
          </w:p>
        </w:tc>
        <w:tc>
          <w:tcPr>
            <w:tcW w:w="836" w:type="pct"/>
          </w:tcPr>
          <w:p w14:paraId="59C0BB9B"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114.296,59</w:t>
            </w:r>
          </w:p>
        </w:tc>
        <w:tc>
          <w:tcPr>
            <w:tcW w:w="837" w:type="pct"/>
          </w:tcPr>
          <w:p w14:paraId="51EA0146"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139.500,00</w:t>
            </w:r>
          </w:p>
        </w:tc>
        <w:tc>
          <w:tcPr>
            <w:tcW w:w="837" w:type="pct"/>
          </w:tcPr>
          <w:p w14:paraId="193FBDB6"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140.197,50</w:t>
            </w:r>
          </w:p>
        </w:tc>
        <w:tc>
          <w:tcPr>
            <w:tcW w:w="835" w:type="pct"/>
          </w:tcPr>
          <w:p w14:paraId="3D5DBC72"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140.895,00</w:t>
            </w:r>
          </w:p>
        </w:tc>
      </w:tr>
      <w:tr w:rsidR="00C41768" w:rsidRPr="00C41768" w14:paraId="571F88E9" w14:textId="77777777" w:rsidTr="005B5D4C">
        <w:tc>
          <w:tcPr>
            <w:tcW w:w="362" w:type="pct"/>
          </w:tcPr>
          <w:p w14:paraId="09B02280"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45283E86"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33F37319"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Progr.rural.razv</w:t>
            </w:r>
          </w:p>
        </w:tc>
        <w:tc>
          <w:tcPr>
            <w:tcW w:w="836" w:type="pct"/>
          </w:tcPr>
          <w:p w14:paraId="1D93467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0,00</w:t>
            </w:r>
          </w:p>
        </w:tc>
        <w:tc>
          <w:tcPr>
            <w:tcW w:w="837" w:type="pct"/>
          </w:tcPr>
          <w:p w14:paraId="36025E61"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20.000,00</w:t>
            </w:r>
          </w:p>
        </w:tc>
        <w:tc>
          <w:tcPr>
            <w:tcW w:w="837" w:type="pct"/>
          </w:tcPr>
          <w:p w14:paraId="13EB765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20.100,00</w:t>
            </w:r>
          </w:p>
        </w:tc>
        <w:tc>
          <w:tcPr>
            <w:tcW w:w="835" w:type="pct"/>
          </w:tcPr>
          <w:p w14:paraId="4B27F64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20.200,00</w:t>
            </w:r>
          </w:p>
        </w:tc>
      </w:tr>
      <w:tr w:rsidR="00C41768" w:rsidRPr="00C41768" w14:paraId="39C44174" w14:textId="77777777" w:rsidTr="005B5D4C">
        <w:tc>
          <w:tcPr>
            <w:tcW w:w="362" w:type="pct"/>
          </w:tcPr>
          <w:p w14:paraId="6FD4364C"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3B33F1C7"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52CF35FC"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Projekti iz EU</w:t>
            </w:r>
          </w:p>
        </w:tc>
        <w:tc>
          <w:tcPr>
            <w:tcW w:w="836" w:type="pct"/>
          </w:tcPr>
          <w:p w14:paraId="7256E474"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810.737,19</w:t>
            </w:r>
          </w:p>
        </w:tc>
        <w:tc>
          <w:tcPr>
            <w:tcW w:w="837" w:type="pct"/>
          </w:tcPr>
          <w:p w14:paraId="0A87232A"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1.985.991,50</w:t>
            </w:r>
          </w:p>
        </w:tc>
        <w:tc>
          <w:tcPr>
            <w:tcW w:w="837" w:type="pct"/>
          </w:tcPr>
          <w:p w14:paraId="7D5CC0D2"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545.455,00</w:t>
            </w:r>
          </w:p>
        </w:tc>
        <w:tc>
          <w:tcPr>
            <w:tcW w:w="835" w:type="pct"/>
          </w:tcPr>
          <w:p w14:paraId="6A5E2BD4"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293.910,00</w:t>
            </w:r>
          </w:p>
        </w:tc>
      </w:tr>
      <w:tr w:rsidR="00C41768" w:rsidRPr="00C41768" w14:paraId="6E348973" w14:textId="77777777" w:rsidTr="005B5D4C">
        <w:tc>
          <w:tcPr>
            <w:tcW w:w="362" w:type="pct"/>
          </w:tcPr>
          <w:p w14:paraId="390FC606"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2D2CA794"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2525929D"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Ukupno razdjel 1</w:t>
            </w:r>
          </w:p>
        </w:tc>
        <w:tc>
          <w:tcPr>
            <w:tcW w:w="836" w:type="pct"/>
          </w:tcPr>
          <w:p w14:paraId="2D764D34" w14:textId="77777777" w:rsidR="00C41768" w:rsidRPr="00C41768" w:rsidRDefault="00C41768" w:rsidP="00C41768">
            <w:pPr>
              <w:spacing w:after="0" w:line="240" w:lineRule="auto"/>
              <w:jc w:val="right"/>
              <w:rPr>
                <w:rFonts w:ascii="Arial" w:eastAsia="Times New Roman" w:hAnsi="Arial" w:cs="Arial"/>
                <w:color w:val="000000"/>
                <w:kern w:val="0"/>
                <w:lang w:eastAsia="hr-HR"/>
                <w14:ligatures w14:val="none"/>
              </w:rPr>
            </w:pPr>
            <w:r w:rsidRPr="00C41768">
              <w:rPr>
                <w:rFonts w:ascii="Arial" w:eastAsia="Times New Roman" w:hAnsi="Arial" w:cs="Arial"/>
                <w:color w:val="000000"/>
                <w:kern w:val="0"/>
                <w:lang w:eastAsia="hr-HR"/>
                <w14:ligatures w14:val="none"/>
              </w:rPr>
              <w:t>4.128.451,50</w:t>
            </w:r>
          </w:p>
        </w:tc>
        <w:tc>
          <w:tcPr>
            <w:tcW w:w="837" w:type="pct"/>
          </w:tcPr>
          <w:p w14:paraId="2E7C9843" w14:textId="77777777" w:rsidR="00C41768" w:rsidRPr="00C41768" w:rsidRDefault="00C41768" w:rsidP="00C41768">
            <w:pPr>
              <w:spacing w:after="0" w:line="240" w:lineRule="auto"/>
              <w:jc w:val="right"/>
              <w:rPr>
                <w:rFonts w:ascii="Arial" w:eastAsia="Times New Roman" w:hAnsi="Arial" w:cs="Arial"/>
                <w:color w:val="000000"/>
                <w:kern w:val="0"/>
                <w:lang w:eastAsia="hr-HR"/>
                <w14:ligatures w14:val="none"/>
              </w:rPr>
            </w:pPr>
            <w:r w:rsidRPr="00C41768">
              <w:rPr>
                <w:rFonts w:ascii="Arial" w:eastAsia="Times New Roman" w:hAnsi="Arial" w:cs="Arial"/>
                <w:color w:val="000000"/>
                <w:kern w:val="0"/>
                <w:lang w:eastAsia="hr-HR"/>
                <w14:ligatures w14:val="none"/>
              </w:rPr>
              <w:t>9.383.241,50</w:t>
            </w:r>
          </w:p>
        </w:tc>
        <w:tc>
          <w:tcPr>
            <w:tcW w:w="837" w:type="pct"/>
          </w:tcPr>
          <w:p w14:paraId="7CEA0A0B" w14:textId="77777777" w:rsidR="00C41768" w:rsidRPr="00C41768" w:rsidRDefault="00C41768" w:rsidP="00C41768">
            <w:pPr>
              <w:spacing w:after="0" w:line="240" w:lineRule="auto"/>
              <w:jc w:val="right"/>
              <w:rPr>
                <w:rFonts w:ascii="Arial" w:eastAsia="Times New Roman" w:hAnsi="Arial" w:cs="Arial"/>
                <w:color w:val="000000"/>
                <w:kern w:val="0"/>
                <w:lang w:eastAsia="hr-HR"/>
                <w14:ligatures w14:val="none"/>
              </w:rPr>
            </w:pPr>
            <w:r w:rsidRPr="00C41768">
              <w:rPr>
                <w:rFonts w:ascii="Arial" w:eastAsia="Times New Roman" w:hAnsi="Arial" w:cs="Arial"/>
                <w:color w:val="000000"/>
                <w:kern w:val="0"/>
                <w:lang w:eastAsia="hr-HR"/>
                <w14:ligatures w14:val="none"/>
              </w:rPr>
              <w:t>6.477.526,24</w:t>
            </w:r>
          </w:p>
        </w:tc>
        <w:tc>
          <w:tcPr>
            <w:tcW w:w="835" w:type="pct"/>
          </w:tcPr>
          <w:p w14:paraId="399041AE" w14:textId="77777777" w:rsidR="00C41768" w:rsidRPr="00C41768" w:rsidRDefault="00C41768" w:rsidP="00C41768">
            <w:pPr>
              <w:spacing w:after="0" w:line="240" w:lineRule="auto"/>
              <w:jc w:val="right"/>
              <w:rPr>
                <w:rFonts w:ascii="Arial" w:eastAsia="Times New Roman" w:hAnsi="Arial" w:cs="Arial"/>
                <w:color w:val="000000"/>
                <w:kern w:val="0"/>
                <w:lang w:eastAsia="hr-HR"/>
                <w14:ligatures w14:val="none"/>
              </w:rPr>
            </w:pPr>
            <w:r w:rsidRPr="00C41768">
              <w:rPr>
                <w:rFonts w:ascii="Arial" w:eastAsia="Times New Roman" w:hAnsi="Arial" w:cs="Arial"/>
                <w:color w:val="000000"/>
                <w:kern w:val="0"/>
                <w:lang w:eastAsia="hr-HR"/>
                <w14:ligatures w14:val="none"/>
              </w:rPr>
              <w:t>6.022.104,50</w:t>
            </w:r>
          </w:p>
        </w:tc>
      </w:tr>
      <w:tr w:rsidR="00C41768" w:rsidRPr="00C41768" w14:paraId="255EFACE" w14:textId="77777777" w:rsidTr="005B5D4C">
        <w:tc>
          <w:tcPr>
            <w:tcW w:w="362" w:type="pct"/>
          </w:tcPr>
          <w:p w14:paraId="7089E76D"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002</w:t>
            </w:r>
          </w:p>
        </w:tc>
        <w:tc>
          <w:tcPr>
            <w:tcW w:w="366" w:type="pct"/>
          </w:tcPr>
          <w:p w14:paraId="75803B1A"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201</w:t>
            </w:r>
          </w:p>
        </w:tc>
        <w:tc>
          <w:tcPr>
            <w:tcW w:w="926" w:type="pct"/>
          </w:tcPr>
          <w:p w14:paraId="5368540C"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Kultura-GK</w:t>
            </w:r>
          </w:p>
        </w:tc>
        <w:tc>
          <w:tcPr>
            <w:tcW w:w="836" w:type="pct"/>
          </w:tcPr>
          <w:p w14:paraId="646D3716"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93.233,59</w:t>
            </w:r>
          </w:p>
        </w:tc>
        <w:tc>
          <w:tcPr>
            <w:tcW w:w="837" w:type="pct"/>
          </w:tcPr>
          <w:p w14:paraId="4CE721F4"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146.955,00</w:t>
            </w:r>
          </w:p>
        </w:tc>
        <w:tc>
          <w:tcPr>
            <w:tcW w:w="837" w:type="pct"/>
          </w:tcPr>
          <w:p w14:paraId="5A0E7B1C"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147.689,76</w:t>
            </w:r>
          </w:p>
        </w:tc>
        <w:tc>
          <w:tcPr>
            <w:tcW w:w="835" w:type="pct"/>
          </w:tcPr>
          <w:p w14:paraId="7895C978"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148.424,55</w:t>
            </w:r>
          </w:p>
        </w:tc>
      </w:tr>
      <w:tr w:rsidR="00C41768" w:rsidRPr="00C41768" w14:paraId="0DAD4EDA" w14:textId="77777777" w:rsidTr="005B5D4C">
        <w:trPr>
          <w:trHeight w:val="759"/>
        </w:trPr>
        <w:tc>
          <w:tcPr>
            <w:tcW w:w="362" w:type="pct"/>
          </w:tcPr>
          <w:p w14:paraId="47C86E34"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6F3891A9"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6838F940"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Udr.u kulturi +</w:t>
            </w:r>
          </w:p>
          <w:p w14:paraId="6CBF0C00"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Kulturne </w:t>
            </w:r>
          </w:p>
          <w:p w14:paraId="783C5096"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manifestacije</w:t>
            </w:r>
          </w:p>
        </w:tc>
        <w:tc>
          <w:tcPr>
            <w:tcW w:w="836" w:type="pct"/>
          </w:tcPr>
          <w:p w14:paraId="3CEC7C9C"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68.500,00</w:t>
            </w:r>
          </w:p>
        </w:tc>
        <w:tc>
          <w:tcPr>
            <w:tcW w:w="837" w:type="pct"/>
          </w:tcPr>
          <w:p w14:paraId="577538B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95.000,00</w:t>
            </w:r>
          </w:p>
        </w:tc>
        <w:tc>
          <w:tcPr>
            <w:tcW w:w="837" w:type="pct"/>
          </w:tcPr>
          <w:p w14:paraId="470DF90F"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95.475,00</w:t>
            </w:r>
          </w:p>
        </w:tc>
        <w:tc>
          <w:tcPr>
            <w:tcW w:w="835" w:type="pct"/>
          </w:tcPr>
          <w:p w14:paraId="7E1884D8"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95.950,00</w:t>
            </w:r>
          </w:p>
        </w:tc>
      </w:tr>
      <w:tr w:rsidR="00C41768" w:rsidRPr="00C41768" w14:paraId="62855FAF" w14:textId="77777777" w:rsidTr="005B5D4C">
        <w:tc>
          <w:tcPr>
            <w:tcW w:w="362" w:type="pct"/>
          </w:tcPr>
          <w:p w14:paraId="4CB6C8C0"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1B405980"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202</w:t>
            </w:r>
          </w:p>
        </w:tc>
        <w:tc>
          <w:tcPr>
            <w:tcW w:w="926" w:type="pct"/>
          </w:tcPr>
          <w:p w14:paraId="0EB63E9F"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Predškolstvo-</w:t>
            </w:r>
          </w:p>
          <w:p w14:paraId="008D194E"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       DV</w:t>
            </w:r>
          </w:p>
        </w:tc>
        <w:tc>
          <w:tcPr>
            <w:tcW w:w="836" w:type="pct"/>
          </w:tcPr>
          <w:p w14:paraId="40107A0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1.351.048,22</w:t>
            </w:r>
          </w:p>
        </w:tc>
        <w:tc>
          <w:tcPr>
            <w:tcW w:w="837" w:type="pct"/>
          </w:tcPr>
          <w:p w14:paraId="5325932A"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2.044.968,91</w:t>
            </w:r>
          </w:p>
        </w:tc>
        <w:tc>
          <w:tcPr>
            <w:tcW w:w="837" w:type="pct"/>
          </w:tcPr>
          <w:p w14:paraId="638BA1E6"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2.047.443,75</w:t>
            </w:r>
          </w:p>
        </w:tc>
        <w:tc>
          <w:tcPr>
            <w:tcW w:w="835" w:type="pct"/>
          </w:tcPr>
          <w:p w14:paraId="7ECEE71E"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2.149.918,60</w:t>
            </w:r>
          </w:p>
        </w:tc>
      </w:tr>
      <w:tr w:rsidR="00C41768" w:rsidRPr="00C41768" w14:paraId="4AB5601E" w14:textId="77777777" w:rsidTr="005B5D4C">
        <w:tc>
          <w:tcPr>
            <w:tcW w:w="362" w:type="pct"/>
          </w:tcPr>
          <w:p w14:paraId="31B4AB18"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7B148E7C"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5EAB11EC"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Školstvo</w:t>
            </w:r>
          </w:p>
        </w:tc>
        <w:tc>
          <w:tcPr>
            <w:tcW w:w="836" w:type="pct"/>
          </w:tcPr>
          <w:p w14:paraId="63DB73B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6.500,00</w:t>
            </w:r>
          </w:p>
        </w:tc>
        <w:tc>
          <w:tcPr>
            <w:tcW w:w="837" w:type="pct"/>
          </w:tcPr>
          <w:p w14:paraId="74F2D2F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8.000,00</w:t>
            </w:r>
          </w:p>
        </w:tc>
        <w:tc>
          <w:tcPr>
            <w:tcW w:w="837" w:type="pct"/>
          </w:tcPr>
          <w:p w14:paraId="2293993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8.040,00</w:t>
            </w:r>
          </w:p>
        </w:tc>
        <w:tc>
          <w:tcPr>
            <w:tcW w:w="835" w:type="pct"/>
          </w:tcPr>
          <w:p w14:paraId="13695382"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8.080,00</w:t>
            </w:r>
          </w:p>
        </w:tc>
      </w:tr>
      <w:tr w:rsidR="00C41768" w:rsidRPr="00C41768" w14:paraId="55A013A6" w14:textId="77777777" w:rsidTr="005B5D4C">
        <w:tc>
          <w:tcPr>
            <w:tcW w:w="362" w:type="pct"/>
          </w:tcPr>
          <w:p w14:paraId="2B353A16"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34023A01"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203</w:t>
            </w:r>
          </w:p>
        </w:tc>
        <w:tc>
          <w:tcPr>
            <w:tcW w:w="926" w:type="pct"/>
          </w:tcPr>
          <w:p w14:paraId="5478144D"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Sl.rekreacije i </w:t>
            </w:r>
          </w:p>
          <w:p w14:paraId="1DAFA2F2"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športa</w:t>
            </w:r>
          </w:p>
        </w:tc>
        <w:tc>
          <w:tcPr>
            <w:tcW w:w="836" w:type="pct"/>
          </w:tcPr>
          <w:p w14:paraId="760AD0A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225.455,40</w:t>
            </w:r>
          </w:p>
        </w:tc>
        <w:tc>
          <w:tcPr>
            <w:tcW w:w="837" w:type="pct"/>
          </w:tcPr>
          <w:p w14:paraId="17F2FC4C"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230.000,00</w:t>
            </w:r>
          </w:p>
        </w:tc>
        <w:tc>
          <w:tcPr>
            <w:tcW w:w="837" w:type="pct"/>
          </w:tcPr>
          <w:p w14:paraId="5FC5A57B"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231.150,00</w:t>
            </w:r>
          </w:p>
        </w:tc>
        <w:tc>
          <w:tcPr>
            <w:tcW w:w="835" w:type="pct"/>
          </w:tcPr>
          <w:p w14:paraId="3C6A5087"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232.300,00</w:t>
            </w:r>
          </w:p>
        </w:tc>
      </w:tr>
      <w:tr w:rsidR="00C41768" w:rsidRPr="00C41768" w14:paraId="7C6273F6" w14:textId="77777777" w:rsidTr="005B5D4C">
        <w:tc>
          <w:tcPr>
            <w:tcW w:w="362" w:type="pct"/>
          </w:tcPr>
          <w:p w14:paraId="791EA184"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27273978"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26D47574"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Ukupno razdjel 2</w:t>
            </w:r>
          </w:p>
        </w:tc>
        <w:tc>
          <w:tcPr>
            <w:tcW w:w="836" w:type="pct"/>
          </w:tcPr>
          <w:p w14:paraId="3FAABA3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1.744.737,21</w:t>
            </w:r>
          </w:p>
        </w:tc>
        <w:tc>
          <w:tcPr>
            <w:tcW w:w="837" w:type="pct"/>
          </w:tcPr>
          <w:p w14:paraId="13B65FA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2.524.923,91</w:t>
            </w:r>
          </w:p>
        </w:tc>
        <w:tc>
          <w:tcPr>
            <w:tcW w:w="837" w:type="pct"/>
          </w:tcPr>
          <w:p w14:paraId="567FEEFE"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2.529.798,51</w:t>
            </w:r>
          </w:p>
        </w:tc>
        <w:tc>
          <w:tcPr>
            <w:tcW w:w="835" w:type="pct"/>
          </w:tcPr>
          <w:p w14:paraId="05006D01"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2.634.673,15</w:t>
            </w:r>
          </w:p>
        </w:tc>
      </w:tr>
      <w:tr w:rsidR="00C41768" w:rsidRPr="00C41768" w14:paraId="32CDB7C9" w14:textId="77777777" w:rsidTr="005B5D4C">
        <w:tc>
          <w:tcPr>
            <w:tcW w:w="362" w:type="pct"/>
          </w:tcPr>
          <w:p w14:paraId="680791D6"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003</w:t>
            </w:r>
          </w:p>
        </w:tc>
        <w:tc>
          <w:tcPr>
            <w:tcW w:w="366" w:type="pct"/>
          </w:tcPr>
          <w:p w14:paraId="0572A71F"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301</w:t>
            </w:r>
          </w:p>
        </w:tc>
        <w:tc>
          <w:tcPr>
            <w:tcW w:w="926" w:type="pct"/>
          </w:tcPr>
          <w:p w14:paraId="1A8204B7"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Protupož. i </w:t>
            </w:r>
          </w:p>
          <w:p w14:paraId="08FB99A8"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civilna zaštita</w:t>
            </w:r>
          </w:p>
        </w:tc>
        <w:tc>
          <w:tcPr>
            <w:tcW w:w="836" w:type="pct"/>
          </w:tcPr>
          <w:p w14:paraId="374265D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82.801,30</w:t>
            </w:r>
          </w:p>
        </w:tc>
        <w:tc>
          <w:tcPr>
            <w:tcW w:w="837" w:type="pct"/>
          </w:tcPr>
          <w:p w14:paraId="094A08EE"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117.500,00</w:t>
            </w:r>
          </w:p>
        </w:tc>
        <w:tc>
          <w:tcPr>
            <w:tcW w:w="837" w:type="pct"/>
          </w:tcPr>
          <w:p w14:paraId="784556CB"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118.087,50</w:t>
            </w:r>
          </w:p>
        </w:tc>
        <w:tc>
          <w:tcPr>
            <w:tcW w:w="835" w:type="pct"/>
          </w:tcPr>
          <w:p w14:paraId="171F9CC4"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118.675,00</w:t>
            </w:r>
          </w:p>
        </w:tc>
      </w:tr>
      <w:tr w:rsidR="00C41768" w:rsidRPr="00C41768" w14:paraId="71FABE3B" w14:textId="77777777" w:rsidTr="005B5D4C">
        <w:tc>
          <w:tcPr>
            <w:tcW w:w="362" w:type="pct"/>
          </w:tcPr>
          <w:p w14:paraId="191076C9"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27A9AB8D"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302</w:t>
            </w:r>
          </w:p>
        </w:tc>
        <w:tc>
          <w:tcPr>
            <w:tcW w:w="926" w:type="pct"/>
          </w:tcPr>
          <w:p w14:paraId="33271258"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Socij.zaštita</w:t>
            </w:r>
          </w:p>
        </w:tc>
        <w:tc>
          <w:tcPr>
            <w:tcW w:w="836" w:type="pct"/>
          </w:tcPr>
          <w:p w14:paraId="7CF796C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366.488,72</w:t>
            </w:r>
          </w:p>
        </w:tc>
        <w:tc>
          <w:tcPr>
            <w:tcW w:w="837" w:type="pct"/>
          </w:tcPr>
          <w:p w14:paraId="416138B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559.033,34</w:t>
            </w:r>
          </w:p>
        </w:tc>
        <w:tc>
          <w:tcPr>
            <w:tcW w:w="837" w:type="pct"/>
          </w:tcPr>
          <w:p w14:paraId="49C8F92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485.415,00</w:t>
            </w:r>
          </w:p>
        </w:tc>
        <w:tc>
          <w:tcPr>
            <w:tcW w:w="835" w:type="pct"/>
          </w:tcPr>
          <w:p w14:paraId="3E0C1E7F"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487.830,00</w:t>
            </w:r>
          </w:p>
        </w:tc>
      </w:tr>
      <w:tr w:rsidR="00C41768" w:rsidRPr="00C41768" w14:paraId="223AC6EF" w14:textId="77777777" w:rsidTr="005B5D4C">
        <w:tc>
          <w:tcPr>
            <w:tcW w:w="362" w:type="pct"/>
          </w:tcPr>
          <w:p w14:paraId="3B60E44E"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0F235C61"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vAlign w:val="center"/>
          </w:tcPr>
          <w:p w14:paraId="5A9BB91F"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Ostale udruge</w:t>
            </w:r>
          </w:p>
        </w:tc>
        <w:tc>
          <w:tcPr>
            <w:tcW w:w="836" w:type="pct"/>
          </w:tcPr>
          <w:p w14:paraId="2319C9D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46.000,00</w:t>
            </w:r>
          </w:p>
        </w:tc>
        <w:tc>
          <w:tcPr>
            <w:tcW w:w="837" w:type="pct"/>
          </w:tcPr>
          <w:p w14:paraId="2F60B59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76.000,00</w:t>
            </w:r>
          </w:p>
        </w:tc>
        <w:tc>
          <w:tcPr>
            <w:tcW w:w="837" w:type="pct"/>
          </w:tcPr>
          <w:p w14:paraId="2C241B9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76.380,00</w:t>
            </w:r>
          </w:p>
        </w:tc>
        <w:tc>
          <w:tcPr>
            <w:tcW w:w="835" w:type="pct"/>
          </w:tcPr>
          <w:p w14:paraId="0042EAEA"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76.760,00</w:t>
            </w:r>
          </w:p>
        </w:tc>
      </w:tr>
      <w:tr w:rsidR="00C41768" w:rsidRPr="00C41768" w14:paraId="6DE75B62" w14:textId="77777777" w:rsidTr="005B5D4C">
        <w:tc>
          <w:tcPr>
            <w:tcW w:w="362" w:type="pct"/>
          </w:tcPr>
          <w:p w14:paraId="43EE93F2"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32AE79F7"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6A89C468"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 xml:space="preserve">Sl.emitiranja i </w:t>
            </w:r>
          </w:p>
          <w:p w14:paraId="4240B527"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izdavanja</w:t>
            </w:r>
          </w:p>
        </w:tc>
        <w:tc>
          <w:tcPr>
            <w:tcW w:w="836" w:type="pct"/>
          </w:tcPr>
          <w:p w14:paraId="47727E2C"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26.544,60</w:t>
            </w:r>
          </w:p>
        </w:tc>
        <w:tc>
          <w:tcPr>
            <w:tcW w:w="837" w:type="pct"/>
          </w:tcPr>
          <w:p w14:paraId="0E5F3222"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45.000,00</w:t>
            </w:r>
          </w:p>
        </w:tc>
        <w:tc>
          <w:tcPr>
            <w:tcW w:w="837" w:type="pct"/>
          </w:tcPr>
          <w:p w14:paraId="7512F526"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45.225,00</w:t>
            </w:r>
          </w:p>
        </w:tc>
        <w:tc>
          <w:tcPr>
            <w:tcW w:w="835" w:type="pct"/>
          </w:tcPr>
          <w:p w14:paraId="7353B8D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45.450,00</w:t>
            </w:r>
          </w:p>
        </w:tc>
      </w:tr>
      <w:tr w:rsidR="00C41768" w:rsidRPr="00C41768" w14:paraId="63A1DCD0" w14:textId="77777777" w:rsidTr="005B5D4C">
        <w:trPr>
          <w:cantSplit/>
        </w:trPr>
        <w:tc>
          <w:tcPr>
            <w:tcW w:w="362" w:type="pct"/>
          </w:tcPr>
          <w:p w14:paraId="5FA9B6DC"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0CD9044B"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7C867A13"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Element.nepog.</w:t>
            </w:r>
          </w:p>
        </w:tc>
        <w:tc>
          <w:tcPr>
            <w:tcW w:w="836" w:type="pct"/>
          </w:tcPr>
          <w:p w14:paraId="4E061A05"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0,00</w:t>
            </w:r>
          </w:p>
        </w:tc>
        <w:tc>
          <w:tcPr>
            <w:tcW w:w="837" w:type="pct"/>
          </w:tcPr>
          <w:p w14:paraId="5B211A0A"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7.700,00</w:t>
            </w:r>
          </w:p>
        </w:tc>
        <w:tc>
          <w:tcPr>
            <w:tcW w:w="837" w:type="pct"/>
          </w:tcPr>
          <w:p w14:paraId="1FF0E4E0"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7.738,50</w:t>
            </w:r>
          </w:p>
        </w:tc>
        <w:tc>
          <w:tcPr>
            <w:tcW w:w="835" w:type="pct"/>
          </w:tcPr>
          <w:p w14:paraId="778926C9"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7.777,00</w:t>
            </w:r>
          </w:p>
        </w:tc>
      </w:tr>
      <w:tr w:rsidR="00C41768" w:rsidRPr="00C41768" w14:paraId="3F61778C" w14:textId="77777777" w:rsidTr="005B5D4C">
        <w:trPr>
          <w:cantSplit/>
        </w:trPr>
        <w:tc>
          <w:tcPr>
            <w:tcW w:w="362" w:type="pct"/>
          </w:tcPr>
          <w:p w14:paraId="53A0F1B3"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366" w:type="pct"/>
          </w:tcPr>
          <w:p w14:paraId="60654D92" w14:textId="77777777" w:rsidR="00C41768" w:rsidRPr="00C41768" w:rsidRDefault="00C41768" w:rsidP="00C41768">
            <w:pPr>
              <w:spacing w:after="0" w:line="240" w:lineRule="auto"/>
              <w:rPr>
                <w:rFonts w:ascii="Arial" w:eastAsia="Times New Roman" w:hAnsi="Arial" w:cs="Arial"/>
                <w:kern w:val="0"/>
                <w:lang w:eastAsia="hr-HR"/>
                <w14:ligatures w14:val="none"/>
              </w:rPr>
            </w:pPr>
          </w:p>
        </w:tc>
        <w:tc>
          <w:tcPr>
            <w:tcW w:w="926" w:type="pct"/>
          </w:tcPr>
          <w:p w14:paraId="295DC94F" w14:textId="77777777" w:rsidR="00C41768" w:rsidRPr="00C41768" w:rsidRDefault="00C41768" w:rsidP="00C41768">
            <w:pPr>
              <w:spacing w:after="0" w:line="240" w:lineRule="auto"/>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Ukupno razdjel 3</w:t>
            </w:r>
          </w:p>
        </w:tc>
        <w:tc>
          <w:tcPr>
            <w:tcW w:w="836" w:type="pct"/>
          </w:tcPr>
          <w:p w14:paraId="0E00AB6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521.834,62</w:t>
            </w:r>
          </w:p>
        </w:tc>
        <w:tc>
          <w:tcPr>
            <w:tcW w:w="837" w:type="pct"/>
          </w:tcPr>
          <w:p w14:paraId="4ABD3243"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805.233,34</w:t>
            </w:r>
          </w:p>
        </w:tc>
        <w:tc>
          <w:tcPr>
            <w:tcW w:w="837" w:type="pct"/>
          </w:tcPr>
          <w:p w14:paraId="573E20FC"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732.846,00</w:t>
            </w:r>
          </w:p>
        </w:tc>
        <w:tc>
          <w:tcPr>
            <w:tcW w:w="835" w:type="pct"/>
          </w:tcPr>
          <w:p w14:paraId="05844BED" w14:textId="77777777" w:rsidR="00C41768" w:rsidRPr="00C41768" w:rsidRDefault="00C41768" w:rsidP="00C41768">
            <w:pPr>
              <w:spacing w:after="0" w:line="240" w:lineRule="auto"/>
              <w:jc w:val="right"/>
              <w:rPr>
                <w:rFonts w:ascii="Arial" w:eastAsia="Times New Roman" w:hAnsi="Arial" w:cs="Arial"/>
                <w:kern w:val="0"/>
                <w:lang w:eastAsia="hr-HR"/>
                <w14:ligatures w14:val="none"/>
              </w:rPr>
            </w:pPr>
            <w:r w:rsidRPr="00C41768">
              <w:rPr>
                <w:rFonts w:ascii="Arial" w:eastAsia="Times New Roman" w:hAnsi="Arial" w:cs="Arial"/>
                <w:kern w:val="0"/>
                <w:lang w:eastAsia="hr-HR"/>
                <w14:ligatures w14:val="none"/>
              </w:rPr>
              <w:t>736.492,00</w:t>
            </w:r>
          </w:p>
        </w:tc>
      </w:tr>
      <w:bookmarkEnd w:id="0"/>
    </w:tbl>
    <w:p w14:paraId="7E258DD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1C0771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FA63195" w14:textId="77777777" w:rsidR="00C41768" w:rsidRPr="00C41768" w:rsidRDefault="00C41768" w:rsidP="00C41768">
      <w:pPr>
        <w:numPr>
          <w:ilvl w:val="1"/>
          <w:numId w:val="21"/>
        </w:num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Rashodi i izdaci proračuna po programskoj klasifikaciji</w:t>
      </w:r>
    </w:p>
    <w:p w14:paraId="35C8F4C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79624F80"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5.2.1.PREDSTAVNIČKA I IZVRŠNA TIJELA GRADA I MJESNE SAMOUPRAVE</w:t>
      </w:r>
    </w:p>
    <w:p w14:paraId="4B90D4F7"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0E46DE20" w14:textId="77777777" w:rsidR="00C41768" w:rsidRPr="00C41768" w:rsidRDefault="00C41768" w:rsidP="00C41768">
      <w:pPr>
        <w:numPr>
          <w:ilvl w:val="3"/>
          <w:numId w:val="21"/>
        </w:num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Gradsko vijeće, gradonačelnik i odbori</w:t>
      </w:r>
    </w:p>
    <w:p w14:paraId="4FC435A9"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354B6B8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1001: Aktivnosti izvršnih i predstavničkih tijela</w:t>
      </w:r>
    </w:p>
    <w:p w14:paraId="29694A2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74D81E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Opis i cilj programa:</w:t>
      </w:r>
      <w:r w:rsidRPr="00C41768">
        <w:rPr>
          <w:rFonts w:ascii="Arial" w:eastAsia="Times New Roman" w:hAnsi="Arial" w:cs="Arial"/>
          <w:color w:val="000000"/>
          <w:kern w:val="0"/>
          <w:sz w:val="24"/>
          <w:szCs w:val="24"/>
          <w:lang w:eastAsia="hr-HR"/>
          <w14:ligatures w14:val="none"/>
        </w:rPr>
        <w:t xml:space="preserve"> Program obuhvaća aktivnosti koje omogućuju obavljanje poslova Gradskog vijeća, njegovih radnih i savjetodavnih tijela, poslova vezanih za rad političkih stranaka, poslova gradonačelnika te gradska pokroviteljstva manifestacija. U sklopu programa se osiguravaju sredstva za isplate naknada za rad članovima predstavničkog tijela te njegovih radnih i savjetodavnih tijela, troškovi izbora, financijska sredstva za političke strane čiji su predstavnici izabrani u predstavničko tijelo, financijskih sredstava za rashode gradonačelnika vezane za protokol, reprezentaciju, te sponzorstva.</w:t>
      </w:r>
    </w:p>
    <w:p w14:paraId="037DFB7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t>Opći cilj programa je razvoj ljudskih potencijala, a poseban cilj programa je osiguranje uvjeta za rad gradskih tijela u skladu sa zakonskim odredbama.</w:t>
      </w:r>
    </w:p>
    <w:p w14:paraId="1325286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138BA9E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 Zakona o financiranju političkih aktivnosti i izborne promidžbe („NN“ broj 29/19 i 98/19); Zakon o financiranju jedinica lokalne i područne (regionalne) samouprave („NN“ broj 127/17, 138/20, 151/22 i 114/23), Statut Grada Donjeg Miholjca („Sl. glasnik Grada D.M. broj 1/21 i 9/22); Poslovnik Gradskog vijeća Grada Donjeg Miholjca („Sl. glasnik Grada D.M. 1/21).</w:t>
      </w:r>
    </w:p>
    <w:p w14:paraId="7002868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Sredstva</w:t>
      </w:r>
      <w:r w:rsidRPr="00C41768">
        <w:rPr>
          <w:rFonts w:ascii="Arial" w:eastAsia="Times New Roman" w:hAnsi="Arial" w:cs="Arial"/>
          <w:color w:val="000000"/>
          <w:kern w:val="0"/>
          <w:sz w:val="24"/>
          <w:szCs w:val="24"/>
          <w:lang w:eastAsia="hr-HR"/>
          <w14:ligatures w14:val="none"/>
        </w:rPr>
        <w:t xml:space="preserve"> </w:t>
      </w:r>
      <w:r w:rsidRPr="00C41768">
        <w:rPr>
          <w:rFonts w:ascii="Arial" w:eastAsia="Times New Roman" w:hAnsi="Arial" w:cs="Arial"/>
          <w:b/>
          <w:bCs/>
          <w:color w:val="000000"/>
          <w:kern w:val="0"/>
          <w:sz w:val="24"/>
          <w:szCs w:val="24"/>
          <w:lang w:eastAsia="hr-HR"/>
          <w14:ligatures w14:val="none"/>
        </w:rPr>
        <w:t>za realizaciju</w:t>
      </w:r>
      <w:r w:rsidRPr="00C41768">
        <w:rPr>
          <w:rFonts w:ascii="Arial" w:eastAsia="Times New Roman" w:hAnsi="Arial" w:cs="Arial"/>
          <w:color w:val="000000"/>
          <w:kern w:val="0"/>
          <w:sz w:val="24"/>
          <w:szCs w:val="24"/>
          <w:lang w:eastAsia="hr-HR"/>
          <w14:ligatures w14:val="none"/>
        </w:rPr>
        <w:t xml:space="preserve"> programa u 2026. godini iznose  466.800,00 eura.  </w:t>
      </w:r>
    </w:p>
    <w:p w14:paraId="2BF06B1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Pokazatelji uspješnosti</w:t>
      </w:r>
      <w:r w:rsidRPr="00C41768">
        <w:rPr>
          <w:rFonts w:ascii="Arial" w:eastAsia="Times New Roman" w:hAnsi="Arial" w:cs="Arial"/>
          <w:color w:val="000000"/>
          <w:kern w:val="0"/>
          <w:sz w:val="24"/>
          <w:szCs w:val="24"/>
          <w:lang w:eastAsia="hr-HR"/>
          <w14:ligatures w14:val="none"/>
        </w:rPr>
        <w:t xml:space="preserve"> programa: broj održanih sjednica Gradskog vijeća; broj donesenih akata od strane gradonačelnika (pravodobnost donošenja i usklađivanja općih akata sa zakonom); te broj akata donesenih od strane Gradskog vijeća; broj aktivnih sudionika u procesu donošenja gradskih akata (izvršavanje zakonskih obveza  te obveza proizišlih iz općih akata Grada vezanih za rad predstavničkog tijela, radnih tijela, izvršne vlasti i političkih stranaka). Također je pokazatelj i koliko se održalo svečanosti te koliko je pokroviteljstva i sponzorstva bilo.</w:t>
      </w:r>
    </w:p>
    <w:p w14:paraId="4149677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43C069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DD61530"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5.2.1.2. Upravni odjel za komunalne, gospodarske, društvene djelatnosti i stručne poslove</w:t>
      </w:r>
    </w:p>
    <w:p w14:paraId="78F7CB12"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55365C50"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1002: Uprava i administracija UO I</w:t>
      </w:r>
    </w:p>
    <w:p w14:paraId="21803CC2"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4FA7B43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Opis i cilj programa: </w:t>
      </w:r>
      <w:r w:rsidRPr="00C41768">
        <w:rPr>
          <w:rFonts w:ascii="Arial" w:eastAsia="Times New Roman" w:hAnsi="Arial" w:cs="Arial"/>
          <w:color w:val="000000"/>
          <w:kern w:val="0"/>
          <w:sz w:val="24"/>
          <w:szCs w:val="24"/>
          <w:lang w:eastAsia="hr-HR"/>
          <w14:ligatures w14:val="none"/>
        </w:rPr>
        <w:t>Program obuhvaća aktivnosti kojima se osiguravaju sredstva za redovno financiranje prava iz radnog odnosa za sve službenike i namještenike, sredstva za podmirivanje  materijalnih rashoda za rad, te sredstva kojima se osigurava oprema potrebna za rad upravnog odjela. Osnovni cilj programa je razvoj ljudskih potencija. Posebni cilj programa je osiguravanje nesmetanog obavljanja poslova uz optimalni broj službenika i namještenika, zadovoljavajuću opremu i druge radne uvjete, a radi zadovoljavanja potreba građana u okviru zakonom utvrđenih zadaća koje obavlja jedinica lokalne samouprave.</w:t>
      </w:r>
    </w:p>
    <w:p w14:paraId="6FB8B43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t xml:space="preserve">  </w:t>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1BE6517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lastRenderedPageBreak/>
        <w:t>150/11, 144/12, 19/13, 137/15, 123/17, 98/19 i 144/20); Zakon o financiranju jedinica lokalne i područne (regionalne) samouprave („NN“ broj 127/17 i 138/20, 151/22 114/23); Zakon o plaćama u lokalnoj i područnoj (regionalnoj) samoupravi („NN“ broj 28/10 i 10/23); Pravilnik o unutarnjem redu gradske uprave („Sl. glasnik Grada Donjeg Miholjca 7/23); Odluka o koeficijentima za obračun plaće službenika i namještenika („Sl. glasnik Grada Donjeg Miholjca 4/23).</w:t>
      </w:r>
      <w:r w:rsidRPr="00C41768">
        <w:rPr>
          <w:rFonts w:ascii="Arial" w:eastAsia="Times New Roman" w:hAnsi="Arial" w:cs="Arial"/>
          <w:color w:val="000000"/>
          <w:kern w:val="0"/>
          <w:sz w:val="24"/>
          <w:szCs w:val="24"/>
          <w:lang w:eastAsia="hr-HR"/>
          <w14:ligatures w14:val="none"/>
        </w:rPr>
        <w:tab/>
      </w:r>
    </w:p>
    <w:p w14:paraId="6DD0E22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iznose 716.940,00 eura.</w:t>
      </w:r>
    </w:p>
    <w:p w14:paraId="0181DA4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Pokazatelji uspješnosti:</w:t>
      </w:r>
      <w:r w:rsidRPr="00C41768">
        <w:rPr>
          <w:rFonts w:ascii="Arial" w:eastAsia="Times New Roman" w:hAnsi="Arial" w:cs="Arial"/>
          <w:color w:val="000000"/>
          <w:kern w:val="0"/>
          <w:sz w:val="24"/>
          <w:szCs w:val="24"/>
          <w:lang w:eastAsia="hr-HR"/>
          <w14:ligatures w14:val="none"/>
        </w:rPr>
        <w:t xml:space="preserve"> broj riješenih predmeta tijekom godine/prosječno vrijeme rješavanja predmeta; trošak nabave sredstava, proizvoda i usluga/službenik, namještenik; trošak nabavljene opreme/službenik, namještenik; broj pohvala/žalbi na uspješnost.</w:t>
      </w:r>
    </w:p>
    <w:p w14:paraId="6D9F881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1C33EFD0"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0F83B257"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5.2.1.3.Upravni odjel za proračun i financije</w:t>
      </w:r>
    </w:p>
    <w:p w14:paraId="4A5D7AC9"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7F3C604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1003: Uprava i administracija UO  II</w:t>
      </w:r>
    </w:p>
    <w:p w14:paraId="4A46C69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83E0C5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Opis i cilj programa: </w:t>
      </w:r>
      <w:r w:rsidRPr="00C41768">
        <w:rPr>
          <w:rFonts w:ascii="Arial" w:eastAsia="Times New Roman" w:hAnsi="Arial" w:cs="Arial"/>
          <w:color w:val="000000"/>
          <w:kern w:val="0"/>
          <w:sz w:val="24"/>
          <w:szCs w:val="24"/>
          <w:lang w:eastAsia="hr-HR"/>
          <w14:ligatures w14:val="none"/>
        </w:rPr>
        <w:t>Program obuhvaća aktivnosti kojima se osiguravaju sredstva za redovno financiranje prava iz radnog odnosa za sve službenike i namještenike, sredstva za podmirivanje  materijalnih rashoda za rad, te sredstva kojima se osigurava oprema potrebna za rad upravnog odjela. Osnovni cilj programa je razvoj ljudskih potencija. Posebni cilj programa je osiguravanje nesmetanog obavljanja poslova uz optimalni broj službenika i namještenika, zadovoljavajuću opremu i druge radne uvjete, a radi zadovoljavanja potreba građana u okviru zakonom utvrđenih zadaća koje obavlja jedinica lokalne samouprave.</w:t>
      </w:r>
    </w:p>
    <w:p w14:paraId="1F6C2BE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t xml:space="preserve"> </w:t>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13DC8BD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 Zakon o financiranju jedinica lokalne i područne (regionalne) samouprave („NN“ broj 127/17, 138/20, 151/22 i 114/23); Zakon o plaćama u lokalnoj i područnoj (regionalnoj) samoupravi („NN“ broj 28/10 i 10/23); Pravilnik o unutarnjem redu gradske uprave („Sl. glasnik Grada D.M. 7/23); Odluka o koeficijentima za obračun plaće službenika i namještenika („Sl. glasnik Grada D.M“. broj 4/23), Zakon o proračunu („NN“ broj 141/21).</w:t>
      </w:r>
    </w:p>
    <w:p w14:paraId="0EED91E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Sredstva za realizaciju programa</w:t>
      </w:r>
      <w:r w:rsidRPr="00C41768">
        <w:rPr>
          <w:rFonts w:ascii="Arial" w:eastAsia="Times New Roman" w:hAnsi="Arial" w:cs="Arial"/>
          <w:color w:val="000000"/>
          <w:kern w:val="0"/>
          <w:sz w:val="24"/>
          <w:szCs w:val="24"/>
          <w:lang w:eastAsia="hr-HR"/>
          <w14:ligatures w14:val="none"/>
        </w:rPr>
        <w:t xml:space="preserve"> u 2026. godini iznose 296.510,00 eura.</w:t>
      </w:r>
    </w:p>
    <w:p w14:paraId="4B03C3E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Pokazatelji uspješnosti:</w:t>
      </w:r>
      <w:r w:rsidRPr="00C41768">
        <w:rPr>
          <w:rFonts w:ascii="Arial" w:eastAsia="Times New Roman" w:hAnsi="Arial" w:cs="Arial"/>
          <w:color w:val="000000"/>
          <w:kern w:val="0"/>
          <w:sz w:val="24"/>
          <w:szCs w:val="24"/>
          <w:lang w:eastAsia="hr-HR"/>
          <w14:ligatures w14:val="none"/>
        </w:rPr>
        <w:t xml:space="preserve"> broj riješenih predmeta tijekom godine/prosječno vrijeme rješavanja predmeta; trošak nabave sredstava, proizvoda i usluga/službenik; trošak nabavljene opreme/službenik; broj pohvala/žalbi na uspješnost, pravodobnost izvještavanja.</w:t>
      </w:r>
    </w:p>
    <w:p w14:paraId="6A7F657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46432F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303F212"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5.2.1.4.Mjesna samouprava</w:t>
      </w:r>
    </w:p>
    <w:p w14:paraId="496A42D4"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0C9291E4"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1004: Opći rashodi poslovanja</w:t>
      </w:r>
    </w:p>
    <w:p w14:paraId="6DF39E42"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360B404A"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Cilj je osigurati sredstva za aktivnosti koje se provode u mjesnim odborima kao pretpostavka razvoja mjesne samouprave. Aktivnosti iz nadležnosti mjesne samouprave planiraju se i provode ponajprije radi poboljšanja životnog, komunalnog i kulturnog standarda građana, a planirana sredstva odnose se na rashode za materijal i energiju i rashode za usluge.</w:t>
      </w:r>
    </w:p>
    <w:p w14:paraId="68AE298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7C7C074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w:t>
      </w:r>
    </w:p>
    <w:p w14:paraId="3D30ADA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iznose 340.600,00 eura.</w:t>
      </w:r>
    </w:p>
    <w:p w14:paraId="0F81A3D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Odgovornost za prostore u vlasništvu Grada, a  koji se nalaze u njihovim mjesnim odborima; ekonomično trošenje i upravljanje dodijeljenih im financijskih sredstava.</w:t>
      </w:r>
    </w:p>
    <w:p w14:paraId="7B76A12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1123F26" w14:textId="6E7C7B7B" w:rsidR="007A17BA" w:rsidRDefault="007A17BA">
      <w:pPr>
        <w:rPr>
          <w:rFonts w:ascii="Arial" w:eastAsia="Times New Roman" w:hAnsi="Arial" w:cs="Arial"/>
          <w:color w:val="000000"/>
          <w:kern w:val="0"/>
          <w:sz w:val="24"/>
          <w:szCs w:val="24"/>
          <w:lang w:eastAsia="hr-HR"/>
          <w14:ligatures w14:val="none"/>
        </w:rPr>
      </w:pPr>
      <w:r>
        <w:rPr>
          <w:rFonts w:ascii="Arial" w:eastAsia="Times New Roman" w:hAnsi="Arial" w:cs="Arial"/>
          <w:color w:val="000000"/>
          <w:kern w:val="0"/>
          <w:sz w:val="24"/>
          <w:szCs w:val="24"/>
          <w:lang w:eastAsia="hr-HR"/>
          <w14:ligatures w14:val="none"/>
        </w:rPr>
        <w:br w:type="page"/>
      </w:r>
    </w:p>
    <w:p w14:paraId="389A019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40D5BC4"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1005: Održavanje komunalne infrastrukture</w:t>
      </w:r>
    </w:p>
    <w:p w14:paraId="0F862235"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27DB00FB"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Cilj je osigurati sredstva za aktivnosti koje se provode u mjesnim odborima kao pretpostavka razvoja mjesne samouprave. Planirana sredstva odnose se na rashode uređenja i održavanja komunalne infrastrukture i zaštitu okoliša, rashode za usluge i rashode za održavanje nefinancijske imovine, te rashodi za nabavu, odnosno izgradnju  nefinancijske imovine, upravljanje imovinom; prostorno planiranje i uređenje grada te poticanje poljoprivredne proizvodnje. Osnovni cilj je unapređenje kvalitete života i rada stanovništva, korisnika prostora u vlasništvu Grada, razvoj konkurentnog i održivog razvoja grada. Posebni cilj programa je zadovoljenje potreba građana u smislu osiguranja adekvatne prometne, javne i komunalne infrastrukture koja će stvoriti jednake životne uvjete stanovnika Grada na svim njegovim područjima i kvalitetno i odgovorno upravljanje imovinom u vlasništvu Grada.</w:t>
      </w:r>
    </w:p>
    <w:p w14:paraId="17C159B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6F9C056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 Zakon o komunalnom gospodarstvu („NN“ broj  68/18, 110/18, 32/20 i 145/24), Zakon o grobljima („NN“ broj 19/98, 50/12, 89/17, 78/25 i 80/25); Zakon o cestama („NN“ broj 84/11, 22/13, 54/13, 148/13, 92/14, 110/19, 144/21, 114/22, 04/23 i 133/23); Zakon o poljoprivredi („NN“ broj 18/18, 42/20, 127/20, 52/21, 152/22 i 152/24).</w:t>
      </w:r>
    </w:p>
    <w:p w14:paraId="4F88B35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w:t>
      </w:r>
      <w:r w:rsidRPr="00C41768">
        <w:rPr>
          <w:rFonts w:ascii="Arial" w:eastAsia="Times New Roman" w:hAnsi="Arial" w:cs="Arial"/>
          <w:b/>
          <w:bCs/>
          <w:color w:val="000000"/>
          <w:kern w:val="0"/>
          <w:sz w:val="24"/>
          <w:szCs w:val="24"/>
          <w:lang w:eastAsia="hr-HR"/>
          <w14:ligatures w14:val="none"/>
        </w:rPr>
        <w:t xml:space="preserve"> </w:t>
      </w:r>
      <w:r w:rsidRPr="00C41768">
        <w:rPr>
          <w:rFonts w:ascii="Arial" w:eastAsia="Times New Roman" w:hAnsi="Arial" w:cs="Arial"/>
          <w:color w:val="000000"/>
          <w:kern w:val="0"/>
          <w:sz w:val="24"/>
          <w:szCs w:val="24"/>
          <w:lang w:eastAsia="hr-HR"/>
          <w14:ligatures w14:val="none"/>
        </w:rPr>
        <w:t xml:space="preserve">2026. godini iznose 4.110.900,00 eura. </w:t>
      </w:r>
    </w:p>
    <w:p w14:paraId="4A54BF9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Dužina popravljenih/rekonstruiranih i novih asfaltiranih cesta; broj nerazvrstanih cesta s utvrđenim oštećenjima kolnika/broj potrebnih sanacija; dužina izgrađenog/rekonstruiranog nogostupa; broj investicijskih popravaka javne rasvjete; broj obnovljenih/rekonstruiranih javnih prostora; dužina izgrađene/rekonstruirane javne rasvjete; broj pripremljenih projekata/broj projekata u realizaciji; broj zemljišta u vlasništvu Grada/broj dobivenih potvrda glavnih projekata; broj kućanstava uključenih u postupak deratizacije; broj akcija zaprašivanja komaraca; broj uređenih kanala; broj odvezenog otpada/broj divljih odlagališta; broj prijavljenih projekata rekonstrukcije poslovnih prostora u vlasništvu Grada; broj odobrenih potpora u poljoprivredi; broj sufinanciranih projekata iz područja poljoprivrede; uvođenje štedljive javne rasvjete; izgradnja cesta i biciklističke staze.</w:t>
      </w:r>
    </w:p>
    <w:p w14:paraId="3046B31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35030ED"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Program 1006: Financijski rashodi  </w:t>
      </w:r>
    </w:p>
    <w:p w14:paraId="5671ABD8"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61DA5CB3"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Program obuhvaća aktivnosti kojima se osiguravaju sredstva za podmirivanje financijskih rashoda za otplatu kamata, otplatu zajmova, usluge platnog prometa i ostale financijske rashode. Osnovni cilj je upravljanje sredstvima. Posebni cilj je osiguranje nesmetanog obavljanja gradske uprave.</w:t>
      </w:r>
    </w:p>
    <w:p w14:paraId="11233A1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0F77350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w:t>
      </w:r>
    </w:p>
    <w:p w14:paraId="6B3A36B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su 896.000,00 eura.</w:t>
      </w:r>
    </w:p>
    <w:p w14:paraId="3352F1C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iznos zateznih kamata; manje usluge platnog prometa i ostalih pristojbi i naknada.</w:t>
      </w:r>
    </w:p>
    <w:p w14:paraId="10119E7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EF9A9F5"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Program 1007: Komunalna poduzeća</w:t>
      </w:r>
    </w:p>
    <w:p w14:paraId="1AF9C43E"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7AEA46C0"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Cilj je osigurati sredstva za aktivnosti koje se provode kod trgovačkih društava u vlasništvu Grada. Osnovni cilj je razvoj vodoopskrbe i odvodnje, te osiguranja održivog gospodarenja otpadom, odnosno unapređenje kvalitete života stanovništva. Posebni cilj je zadovoljenje potreba građana u pružanju usluga vodoopskrbe, te očuvanje okoliša kao prirodnog dobra za buduće generacije.</w:t>
      </w:r>
    </w:p>
    <w:p w14:paraId="08A937D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5ED062A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lastRenderedPageBreak/>
        <w:t>150/11, 144/12, 19/13, 137/15, 123/17, 98/19 i 144/20); Zakon o komunalnom gospodarstvu „NN“ broj  68/18, 110/18, 32/20 i 145/24), Zakon o vodama („NN“ broj 66/19, 84/21 i 47/23); Zakon gospodarenju otpadom („NN“ broj 84/21 i 142/23).</w:t>
      </w:r>
    </w:p>
    <w:p w14:paraId="7B65DDA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iznose 410.000,00 eura.</w:t>
      </w:r>
    </w:p>
    <w:p w14:paraId="7AD6F45D" w14:textId="2E3A2648"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broj kućanstava priključenih na vodovodnu mrežu; održavanje vodoopskrbe i odvodnje; što veća uključenost u odvajanju otpada i samim time manje otpada, sanacija deponije otpada.</w:t>
      </w:r>
    </w:p>
    <w:p w14:paraId="23698C4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p>
    <w:p w14:paraId="23370FE8"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Program 1008: Poticanje razvoja gospodarstva  </w:t>
      </w:r>
    </w:p>
    <w:p w14:paraId="1269ECC8"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04AD82A9"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Programom se osiguravaju financijska sredstva potrebna za financiranje mjera poticaja razvoja malog i srednjeg poduzetništva, dodjelu potpora za poduzetničke aktivnosti koje doprinose jačanju poduzetničke konkurentnosti, te dodjelu potpora u funkciji razvoja obrtništva. U okviru programa provodi se mjera subvencioniranja kamata po kreditima poduzetnika, te financijska sredstva za Poduzetnički centar koji vrši usluge za Grad. Osnovni cilj programa je podizanje konkurentnosti poduzetnika i obrtnika kroz razvoj konkurentnog i održivog gospodarstva, a posebni cilj olakšavanje poslovanja poduzetnicima i obrtnicima s područja Grada Donjeg Miholjca.</w:t>
      </w:r>
    </w:p>
    <w:p w14:paraId="0F7A443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poticanju razvoja malog gospodarstva („NN“ broj 29/02, 63/07, 53/12, 56/13, 121/16); Zakon o obrtu („NN“ broj 143/13, 127/19, 41/20); Statut Grada Donjeg Miholjca („Sl. glasnik Grada Donjeg Miholjca broj 1/21 i 9/22).</w:t>
      </w:r>
    </w:p>
    <w:p w14:paraId="6098D6D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su 139.500,00 eura.</w:t>
      </w:r>
    </w:p>
    <w:p w14:paraId="6277BC0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broj odobrenih potpora za obrtnike poduzetnike; broj usluga Poduzetničkog centra.</w:t>
      </w:r>
    </w:p>
    <w:p w14:paraId="2675D11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0E2D95D"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Program 1018: Program ruralnog razvoja</w:t>
      </w:r>
    </w:p>
    <w:p w14:paraId="69B98A3E"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0DF954FA"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 xml:space="preserve">Cilj je osigurati sredstva putem EU fondova uređenje vatrogasnih domova u MO. Osnovni cilj je poboljšanje komunalnih djelatnosti. Posebni cilj je zadovoljenje potreba stanovništva. </w:t>
      </w:r>
    </w:p>
    <w:p w14:paraId="313DB63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27851D9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 Zakon o grobljima („NN“ broj 19/98, 50/12, 89/17).</w:t>
      </w:r>
    </w:p>
    <w:p w14:paraId="38CC5AF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iznose 20.000,00 eura.</w:t>
      </w:r>
    </w:p>
    <w:p w14:paraId="12CA389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bolja opremljenost vatrogasnih društava.</w:t>
      </w:r>
    </w:p>
    <w:p w14:paraId="72E95BD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D75D57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Program 1019: Projekti financirani iz EU</w:t>
      </w:r>
    </w:p>
    <w:p w14:paraId="2C8A5E0B"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53468790"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Times New Roman" w:eastAsia="Times New Roman" w:hAnsi="Times New Roman" w:cs="Times New Roman"/>
          <w:b/>
          <w:bCs/>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Opis i cilj programa: </w:t>
      </w:r>
      <w:r w:rsidRPr="00C41768">
        <w:rPr>
          <w:rFonts w:ascii="Arial" w:eastAsia="Times New Roman" w:hAnsi="Arial" w:cs="Arial"/>
          <w:color w:val="000000"/>
          <w:kern w:val="0"/>
          <w:sz w:val="24"/>
          <w:szCs w:val="24"/>
          <w:lang w:eastAsia="hr-HR"/>
          <w14:ligatures w14:val="none"/>
        </w:rPr>
        <w:t>Cilj je osigurati sredstva putem EU fondova za brigu o starijima, informiranje stanovnika, energetsku obnovu zgrada, izgradnja dječjeg vrtića, izgradnja sportskog centra, obnova multimedijalnog centra te obnovu prirodne baštine. Osno</w:t>
      </w:r>
      <w:r w:rsidRPr="00C41768">
        <w:rPr>
          <w:rFonts w:ascii="Arial" w:eastAsia="Times New Roman" w:hAnsi="Arial" w:cs="Arial"/>
          <w:kern w:val="0"/>
          <w:sz w:val="24"/>
          <w:szCs w:val="24"/>
          <w:lang w:eastAsia="hr-HR"/>
          <w14:ligatures w14:val="none"/>
        </w:rPr>
        <w:t>vni cilj programa je održivi razvoj Grada. Posebni cilj programa je zadovoljenje potreba građana u smislu adekvatne pomoći oko starijih i poboljšanje društvenog i kulturnog života građana.</w:t>
      </w:r>
    </w:p>
    <w:p w14:paraId="53CB88A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4246A41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w:t>
      </w:r>
    </w:p>
    <w:p w14:paraId="2B1116D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iznose 1.985.991,50 eura.</w:t>
      </w:r>
    </w:p>
    <w:p w14:paraId="49A6EB5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pomoć starijima i nemoćnima/zapošljavanje određenog broja žena; obnova kulturne baštine radi poboljšanja turizma, izgradnja dječjeg vrtića.</w:t>
      </w:r>
    </w:p>
    <w:p w14:paraId="239F0DEC" w14:textId="07DB58D3" w:rsidR="007A17BA" w:rsidRDefault="007A17BA">
      <w:pPr>
        <w:rPr>
          <w:rFonts w:ascii="Arial" w:eastAsia="Times New Roman" w:hAnsi="Arial" w:cs="Arial"/>
          <w:color w:val="000000"/>
          <w:kern w:val="0"/>
          <w:sz w:val="24"/>
          <w:szCs w:val="24"/>
          <w:lang w:eastAsia="hr-HR"/>
          <w14:ligatures w14:val="none"/>
        </w:rPr>
      </w:pPr>
      <w:r>
        <w:rPr>
          <w:rFonts w:ascii="Arial" w:eastAsia="Times New Roman" w:hAnsi="Arial" w:cs="Arial"/>
          <w:color w:val="000000"/>
          <w:kern w:val="0"/>
          <w:sz w:val="24"/>
          <w:szCs w:val="24"/>
          <w:lang w:eastAsia="hr-HR"/>
          <w14:ligatures w14:val="none"/>
        </w:rPr>
        <w:br w:type="page"/>
      </w:r>
    </w:p>
    <w:p w14:paraId="04EB40C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27E5DBB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5.2.2.PREDŠKOLSKI ODGOJ, OBRAZOVANJE, KULTURA I ŠPORT</w:t>
      </w:r>
    </w:p>
    <w:p w14:paraId="382BED0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830F9B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5.2.2.1.Kultura</w:t>
      </w:r>
    </w:p>
    <w:p w14:paraId="59E7AE1A"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280EFB2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Program 1009: Gradska knjižnica i kultura</w:t>
      </w:r>
    </w:p>
    <w:p w14:paraId="61C4F91A"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 xml:space="preserve">Program je usmjeren na stvaranje materijalnih i financijskih uvjeta za obavljanje redovne djelatnosti knjižnice i čitaonice; te se programom utvrđuju aktivnosti, poslovi, djelatnosti, akcije i manifestacija u kulturi od značenja za Grad. Posebice se podržava i potiče kulturno-umjetničko stvaralaštvo, programi ustanova kulture te akcije i manifestacije koje doprinose promicanju kulture. Osnovni cilj programa je unapređenje kvalitete života stanovnika Grada, stvaranje čitalačkih navika, promicanje svijesti o kulturnom identitetu i nasljeđu. Poseban cilj programa je zadovoljenje kulturnih potreba stanovništva uz povećanje standarda usluge na području knjižnične djelatnosti, razvoj i poticanje svih oblika pismenosti i cjeloživotnog obrazovanja, podizanje razine kulturnog života, poticanje na suradnju i timski rad, odnosno osiguranje financijskih sredstava za djelovanje udruga u kulturi. </w:t>
      </w:r>
    </w:p>
    <w:p w14:paraId="5C954BA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lokalnoj i područnoj (regionalnoj) samoupravi („NN“ broj 33/01, 60/01, 129/05, 109/07, 125/08, 36/09,</w:t>
      </w:r>
    </w:p>
    <w:p w14:paraId="66847DD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 Zakon o knjižnicama i knjižničnoj djelatnosti („NN“ broj 17/19, 98/19, 114/22 i 36/24); Zakon o ustanovama („NN“ broj 76/93, 29/97, 47/99, 35/08, 127/19 i 151/22); Zakon o proračunu („NN“ broj 144/21); Zakon o kulturnim vijećima i financiranju javnih potreba u kulturi („NN“ broj 83/22); Zakon o udrugama („NN“ broj 74/14, 70/17, 98/19 i 151/22) te standardi za narodne knjižnice u RH („NN“ 103/21); Statutu Gradske knjižnice Grada Donjeg Miholjca.</w:t>
      </w:r>
    </w:p>
    <w:p w14:paraId="03DC8D1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se u 2026. godini planiraju u iznosu od 241.955,00 eura za Gradsku knjižnicu te za udruge u kulturi  i kulturne manifestacije u iznosu od  95.000,00 eura.</w:t>
      </w:r>
    </w:p>
    <w:p w14:paraId="3F1D084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 xml:space="preserve"> broj održanih književnih večeri; broj događanja; broj knjižne građe; broj članova knjižnice i broj posjetitelja; oprema i kvadratura , te funkcionalnost prostora jer je usluga Knjižnice sistematizirana kroz odjel za odrasle, dječji odjel, odjel za mlade  i čitaonicu; broj financiranih projekata u kulturi.</w:t>
      </w:r>
    </w:p>
    <w:p w14:paraId="57D3D86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522836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817A39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5.2.2.2.Obrazovanje</w:t>
      </w:r>
    </w:p>
    <w:p w14:paraId="4DEABE7A"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419A2F2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1010: Predškolstvo</w:t>
      </w:r>
    </w:p>
    <w:p w14:paraId="530ED28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AAFD1E5" w14:textId="77777777" w:rsidR="00C41768" w:rsidRPr="00C41768" w:rsidRDefault="00C41768" w:rsidP="00C41768">
      <w:pPr>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b/>
          <w:bCs/>
          <w:kern w:val="0"/>
          <w:sz w:val="24"/>
          <w:szCs w:val="24"/>
          <w:lang w:eastAsia="hr-HR"/>
          <w14:ligatures w14:val="none"/>
        </w:rPr>
        <w:t xml:space="preserve">Opis i cilj programa: </w:t>
      </w:r>
      <w:r w:rsidRPr="00C41768">
        <w:rPr>
          <w:rFonts w:ascii="Arial" w:eastAsia="Times New Roman" w:hAnsi="Arial" w:cs="Arial"/>
          <w:kern w:val="0"/>
          <w:sz w:val="24"/>
          <w:szCs w:val="24"/>
          <w:lang w:eastAsia="hr-HR"/>
          <w14:ligatures w14:val="none"/>
        </w:rPr>
        <w:t>Program je usmjeren na stvaranje uvjeta za obavljanje predškolske djelatnosti Dječjeg vrtića „Pinokio“ radi zadovoljenja potreba građana za predškolskim odgojem djece te malom školom predškolske djece koja nisu pohađala vrtić. Osnovni cilj programa je razvoj ljudskih potencijala. Posebni ciljevi programa su uključivanje što većeg broja djece u organizirane primarne i dodatne programe dječjeg vrtića, čime se iskazuje društvena briga o djeci te kvalitetno provođenje programa njege, odgoja i naobrazbe djece predškolskog uzrasta. Prioritet je pružanje usluge predškolskog odgoja i obrazovanja. Potiče se kvalitetna komunikacija sa roditeljima i djecom te odgojitelji sudjeluju na seminarima i stručnim skupovima. Matični vrtić ima i područni vrtić u Rakitovici. U sklopu vrtića već do sada sudjeluje i Općina Marijanci sa svojim područnim vrtićem u Črnkovcima te Općina Viljevo i Općina Podravska Moslavina.</w:t>
      </w:r>
    </w:p>
    <w:p w14:paraId="46142F42" w14:textId="77777777" w:rsidR="00C41768" w:rsidRPr="00C41768" w:rsidRDefault="00C41768" w:rsidP="00C41768">
      <w:pPr>
        <w:autoSpaceDE w:val="0"/>
        <w:autoSpaceDN w:val="0"/>
        <w:adjustRightInd w:val="0"/>
        <w:spacing w:after="0" w:line="240" w:lineRule="auto"/>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bookmarkStart w:id="1" w:name="_Hlk182999439"/>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predškolskom odgoju i obrazovanju („NN“ broj 10/97, 107/07, 94/13, 98/19, 57/22 i 101/23); Državni pedagoški standard predškolskog odgoja i naobrazbe („NN“ broj 63/08); Zakon o ustanovama („NN“ broj 76/93, 29/97, 47/99, 35/08, 127/19 i 151/22); Zakon o proračunu („NN“ broj 144/21) te Godišnji plan i program rada za pedagošku godinu koji traje od 01. rujna do 31. kolovoza 2025./2026. godine.</w:t>
      </w:r>
    </w:p>
    <w:bookmarkEnd w:id="1"/>
    <w:p w14:paraId="0F65D49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 xml:space="preserve">se u 2026. godini planiraju u ukupnom iznosu od </w:t>
      </w:r>
      <w:r w:rsidRPr="00C41768">
        <w:rPr>
          <w:rFonts w:ascii="Arial" w:eastAsia="Times New Roman" w:hAnsi="Arial" w:cs="Arial"/>
          <w:kern w:val="0"/>
          <w:sz w:val="24"/>
          <w:szCs w:val="24"/>
          <w:lang w:eastAsia="hr-HR"/>
          <w14:ligatures w14:val="none"/>
        </w:rPr>
        <w:t>2.044.968,91</w:t>
      </w:r>
      <w:r w:rsidRPr="00C41768">
        <w:rPr>
          <w:rFonts w:ascii="Arial" w:eastAsia="Times New Roman" w:hAnsi="Arial" w:cs="Arial"/>
          <w:color w:val="000000"/>
          <w:kern w:val="0"/>
          <w:sz w:val="24"/>
          <w:szCs w:val="24"/>
          <w:lang w:eastAsia="hr-HR"/>
          <w14:ligatures w14:val="none"/>
        </w:rPr>
        <w:t xml:space="preserve"> eura. Troškovi se baziraju na 66 djelatnika. Ukupan broj zaposlenih u Matičnom vrtiću u Donjem Miholjcu (uključujući zajedničku službu) je 44. Na području Općine Marijanci zaposleno je 10 djelatnika, na području Općine Viljevo 6 djelatnika te na području Općine Podravska Moslavina također </w:t>
      </w:r>
      <w:r w:rsidRPr="00C41768">
        <w:rPr>
          <w:rFonts w:ascii="Arial" w:eastAsia="Times New Roman" w:hAnsi="Arial" w:cs="Arial"/>
          <w:color w:val="000000"/>
          <w:kern w:val="0"/>
          <w:sz w:val="24"/>
          <w:szCs w:val="24"/>
          <w:lang w:eastAsia="hr-HR"/>
          <w14:ligatures w14:val="none"/>
        </w:rPr>
        <w:lastRenderedPageBreak/>
        <w:t xml:space="preserve">6 djelatnika. </w:t>
      </w: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broj polaznika usavršavanja/broj educiranih pomoćnika; broj projekata za ustanove predškolskog odgoja s ciljem dodatne edukacije odgojitelja i stručnih suradnika.</w:t>
      </w:r>
    </w:p>
    <w:p w14:paraId="50986D2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29F7C82"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Program 1011: Školstvo</w:t>
      </w:r>
    </w:p>
    <w:p w14:paraId="3B7841D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Opis i cilj programa:</w:t>
      </w:r>
      <w:r w:rsidRPr="00C41768">
        <w:rPr>
          <w:rFonts w:ascii="Arial" w:eastAsia="Times New Roman" w:hAnsi="Arial" w:cs="Arial"/>
          <w:color w:val="000000"/>
          <w:kern w:val="0"/>
          <w:sz w:val="24"/>
          <w:szCs w:val="24"/>
          <w:lang w:eastAsia="hr-HR"/>
          <w14:ligatures w14:val="none"/>
        </w:rPr>
        <w:t xml:space="preserve"> Program je usmjeren na pripomoć za osnovnu i srednju školu budući da nemamo decentralizirane funkcije. Osnovni cilj je pomoći u projektima koje provode osnovne škole i srednja škola. Primarni cilj je razvoj djece, a posebni cilj je uključivanje djece u organizirane primarne i dodatne programe školstva. Posebno se ističe sufinanciranje izgradnje srednje škole.</w:t>
      </w:r>
    </w:p>
    <w:p w14:paraId="0F81F0C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Zakonska osnova </w:t>
      </w:r>
      <w:r w:rsidRPr="00C41768">
        <w:rPr>
          <w:rFonts w:ascii="Arial" w:eastAsia="Times New Roman" w:hAnsi="Arial" w:cs="Arial"/>
          <w:color w:val="000000"/>
          <w:kern w:val="0"/>
          <w:sz w:val="24"/>
          <w:szCs w:val="24"/>
          <w:lang w:eastAsia="hr-HR"/>
          <w14:ligatures w14:val="none"/>
        </w:rPr>
        <w:t>za uvođenje programa:</w:t>
      </w:r>
      <w:r w:rsidRPr="00C41768">
        <w:rPr>
          <w:rFonts w:ascii="Arial" w:eastAsia="Times New Roman" w:hAnsi="Arial" w:cs="Arial"/>
          <w:b/>
          <w:bCs/>
          <w:color w:val="000000"/>
          <w:kern w:val="0"/>
          <w:sz w:val="24"/>
          <w:szCs w:val="24"/>
          <w:lang w:eastAsia="hr-HR"/>
          <w14:ligatures w14:val="none"/>
        </w:rPr>
        <w:t xml:space="preserve"> </w:t>
      </w:r>
      <w:r w:rsidRPr="00C41768">
        <w:rPr>
          <w:rFonts w:ascii="Arial" w:eastAsia="Times New Roman" w:hAnsi="Arial" w:cs="Arial"/>
          <w:color w:val="000000"/>
          <w:kern w:val="0"/>
          <w:sz w:val="24"/>
          <w:szCs w:val="24"/>
          <w:lang w:eastAsia="hr-HR"/>
          <w14:ligatures w14:val="none"/>
        </w:rPr>
        <w:t>Zakon o lokalnoj i područnoj (regionalnoj) samoupravi („NN“ broj 33/01, 60/01, 129/05, 109/07, 125/08, 36/09,</w:t>
      </w:r>
    </w:p>
    <w:p w14:paraId="06FEEAD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150/11, 144/12, 19/13, 137/15, 123/17, 98/19 i 144/20); Zakon o odgoju i obrazovanju u osnovnoj i srednjoj školi („NN“ broj 87/08, 86/09, 92/10, 105/10, 90/11, 5/12, 16/12, 86/12, 126/12, 94/13, 152/14, 07/17, 68/18, 98/19, 64/20, 151/22, 155/23 i 156/23).</w:t>
      </w:r>
    </w:p>
    <w:p w14:paraId="7C833CA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Sredstva za realizaciju programa</w:t>
      </w:r>
      <w:r w:rsidRPr="00C41768">
        <w:rPr>
          <w:rFonts w:ascii="Arial" w:eastAsia="Times New Roman" w:hAnsi="Arial" w:cs="Arial"/>
          <w:color w:val="000000"/>
          <w:kern w:val="0"/>
          <w:sz w:val="24"/>
          <w:szCs w:val="24"/>
          <w:lang w:eastAsia="hr-HR"/>
          <w14:ligatures w14:val="none"/>
        </w:rPr>
        <w:t xml:space="preserve"> u 2026. godini su 8.000,00 eura.</w:t>
      </w:r>
    </w:p>
    <w:p w14:paraId="51BB902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Pokazatelji uspješnosti:</w:t>
      </w:r>
      <w:r w:rsidRPr="00C41768">
        <w:rPr>
          <w:rFonts w:ascii="Arial" w:eastAsia="Times New Roman" w:hAnsi="Arial" w:cs="Arial"/>
          <w:color w:val="000000"/>
          <w:kern w:val="0"/>
          <w:sz w:val="24"/>
          <w:szCs w:val="24"/>
          <w:lang w:eastAsia="hr-HR"/>
          <w14:ligatures w14:val="none"/>
        </w:rPr>
        <w:t xml:space="preserve"> broj djece uključenih u kulturne, sportske i druge aktivnosti u svojim školama.</w:t>
      </w:r>
    </w:p>
    <w:p w14:paraId="2395801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95F78A6"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1012: Služba rekreacije i športa</w:t>
      </w:r>
    </w:p>
    <w:p w14:paraId="1EA45C0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Opis i cilj programa:</w:t>
      </w:r>
      <w:r w:rsidRPr="00C41768">
        <w:rPr>
          <w:rFonts w:ascii="Arial" w:eastAsia="Times New Roman" w:hAnsi="Arial" w:cs="Arial"/>
          <w:color w:val="000000"/>
          <w:kern w:val="0"/>
          <w:sz w:val="24"/>
          <w:szCs w:val="24"/>
          <w:lang w:eastAsia="hr-HR"/>
          <w14:ligatures w14:val="none"/>
        </w:rPr>
        <w:t xml:space="preserve"> Programom javnih potreba u sportu osiguravaju se financijska sredstva za financiranje Zajednice športskih udruga Grada Donjeg Miholjca, odnosno sportskih društava koja su uključena u Zajednicu. Osnovni cilj programa je stvaranje poticajnog okruženja za razvoj sporta na području Grada. Poseban cilj programa je poboljšanje razine kvalitete sporta na našem području, posebno onog dijela koji će pridonijeti promidžbi Grada na razini države i međunarodnom planu te uključivanje što većeg broja djece i mladeži u sport.</w:t>
      </w:r>
    </w:p>
    <w:p w14:paraId="226B960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Zakonska osnova: </w:t>
      </w:r>
      <w:r w:rsidRPr="00C41768">
        <w:rPr>
          <w:rFonts w:ascii="Arial" w:eastAsia="Times New Roman" w:hAnsi="Arial" w:cs="Arial"/>
          <w:color w:val="000000"/>
          <w:kern w:val="0"/>
          <w:sz w:val="24"/>
          <w:szCs w:val="24"/>
          <w:lang w:eastAsia="hr-HR"/>
          <w14:ligatures w14:val="none"/>
        </w:rPr>
        <w:t>Zakon  o sportu („NN“ broj 141/22); Zakon o udrugama („NN“ broj 74/14, 70/17, 98/19 i 151/22).</w:t>
      </w:r>
    </w:p>
    <w:p w14:paraId="1467F67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Sredstva za realizaciju programa</w:t>
      </w:r>
      <w:r w:rsidRPr="00C41768">
        <w:rPr>
          <w:rFonts w:ascii="Arial" w:eastAsia="Times New Roman" w:hAnsi="Arial" w:cs="Arial"/>
          <w:color w:val="000000"/>
          <w:kern w:val="0"/>
          <w:sz w:val="24"/>
          <w:szCs w:val="24"/>
          <w:lang w:eastAsia="hr-HR"/>
          <w14:ligatures w14:val="none"/>
        </w:rPr>
        <w:t xml:space="preserve"> u 2026. godini iznose 230.000,00 eura za redovna sredstva.</w:t>
      </w:r>
    </w:p>
    <w:p w14:paraId="7368191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Pokazatelji uspješnosti:</w:t>
      </w:r>
      <w:r w:rsidRPr="00C41768">
        <w:rPr>
          <w:rFonts w:ascii="Arial" w:eastAsia="Times New Roman" w:hAnsi="Arial" w:cs="Arial"/>
          <w:color w:val="000000"/>
          <w:kern w:val="0"/>
          <w:sz w:val="24"/>
          <w:szCs w:val="24"/>
          <w:lang w:eastAsia="hr-HR"/>
          <w14:ligatures w14:val="none"/>
        </w:rPr>
        <w:t xml:space="preserve"> broj članova u sportskim društvima te članova Zajednice športskih udruga Grada Donjeg Miholjca; broj izgrađenih vježbališta na otvorenom.</w:t>
      </w:r>
    </w:p>
    <w:p w14:paraId="7B974E9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76AFACF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5.2.3. OSTALI KORISNICI PRORAČUNA</w:t>
      </w:r>
    </w:p>
    <w:p w14:paraId="4C8C123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4A2C921"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5.2.3.1 Vatrogastvo</w:t>
      </w:r>
    </w:p>
    <w:p w14:paraId="640ABCF8"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0B0068F6"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1013: Protupožarna i civilna zaštita</w:t>
      </w:r>
    </w:p>
    <w:p w14:paraId="29C76A4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 xml:space="preserve">Opis i cilj programa: </w:t>
      </w:r>
      <w:r w:rsidRPr="00C41768">
        <w:rPr>
          <w:rFonts w:ascii="Arial" w:eastAsia="Times New Roman" w:hAnsi="Arial" w:cs="Arial"/>
          <w:color w:val="000000"/>
          <w:kern w:val="0"/>
          <w:sz w:val="24"/>
          <w:szCs w:val="24"/>
          <w:lang w:eastAsia="hr-HR"/>
          <w14:ligatures w14:val="none"/>
        </w:rPr>
        <w:t xml:space="preserve">programom se osiguravaju financijska sredstva </w:t>
      </w:r>
    </w:p>
    <w:p w14:paraId="6245EA0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potrebna za funkcioniranje Vatrogasne zajednice Grada i DVD-a u njenom sastavu za dio intervencija na našem području. Obuhvaćaju se i aktivnosti u području civilne zaštite, te aktivnosti Gorske službe spašavanje. Osnovni cilj je unapređenje kvalitete života. Posebni cilj je stvaranje uvjeta za kvalitetno i efikasno funkcioniranje protupožarne zaštite u skladu sa zakonskim propisima, procjeni ugroženosti od požara, planu zaštite o d požara, daljnje razvijanje sustava zaštite i spašavanja i poboljšanje uvjeta rada HGSS-a.</w:t>
      </w:r>
    </w:p>
    <w:p w14:paraId="2F2F26F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Zakonska osnova: </w:t>
      </w:r>
      <w:r w:rsidRPr="00C41768">
        <w:rPr>
          <w:rFonts w:ascii="Arial" w:eastAsia="Times New Roman" w:hAnsi="Arial" w:cs="Arial"/>
          <w:color w:val="000000"/>
          <w:kern w:val="0"/>
          <w:sz w:val="24"/>
          <w:szCs w:val="24"/>
          <w:lang w:eastAsia="hr-HR"/>
          <w14:ligatures w14:val="none"/>
        </w:rPr>
        <w:t>Zakon o vatrogastvu („NN“ broj 125/19, 114/22 i 155/23); Zakon o zaštiti od požara („NN“ broj 92/10 i 114/22); Zakon o sustavu civilne zaštite („NN“ broj 82/15, 118/18, 31/20, 20/21 i 144/22).</w:t>
      </w:r>
    </w:p>
    <w:p w14:paraId="3EF7B71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Sredstva za realizaciju programa</w:t>
      </w:r>
      <w:r w:rsidRPr="00C41768">
        <w:rPr>
          <w:rFonts w:ascii="Arial" w:eastAsia="Times New Roman" w:hAnsi="Arial" w:cs="Arial"/>
          <w:color w:val="000000"/>
          <w:kern w:val="0"/>
          <w:sz w:val="24"/>
          <w:szCs w:val="24"/>
          <w:lang w:eastAsia="hr-HR"/>
          <w14:ligatures w14:val="none"/>
        </w:rPr>
        <w:t xml:space="preserve"> su osigurana za 2026. godinu u iznosu od 117.500,00 eura.</w:t>
      </w:r>
    </w:p>
    <w:p w14:paraId="4036C40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Pokazatelji uspješnosti:</w:t>
      </w:r>
      <w:r w:rsidRPr="00C41768">
        <w:rPr>
          <w:rFonts w:ascii="Arial" w:eastAsia="Times New Roman" w:hAnsi="Arial" w:cs="Arial"/>
          <w:color w:val="000000"/>
          <w:kern w:val="0"/>
          <w:sz w:val="24"/>
          <w:szCs w:val="24"/>
          <w:lang w:eastAsia="hr-HR"/>
          <w14:ligatures w14:val="none"/>
        </w:rPr>
        <w:t xml:space="preserve"> Broj DVD-a uključenih u sastavu Vatrogasne zajednice, broj intervencija HGSS na području Grada te rad civilne zaštite.</w:t>
      </w:r>
    </w:p>
    <w:p w14:paraId="100ABA2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06951955"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5.2.3.2. Ostale gradske aktivnosti</w:t>
      </w:r>
    </w:p>
    <w:p w14:paraId="20F98236"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1F050B2A"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Program 1014: Socijalna zaštita</w:t>
      </w:r>
    </w:p>
    <w:p w14:paraId="1F8A10E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Opis i cilj programa: </w:t>
      </w:r>
      <w:r w:rsidRPr="00C41768">
        <w:rPr>
          <w:rFonts w:ascii="Arial" w:eastAsia="Times New Roman" w:hAnsi="Arial" w:cs="Arial"/>
          <w:color w:val="000000"/>
          <w:kern w:val="0"/>
          <w:sz w:val="24"/>
          <w:szCs w:val="24"/>
          <w:lang w:eastAsia="hr-HR"/>
          <w14:ligatures w14:val="none"/>
        </w:rPr>
        <w:t>Program se provodi radi osiguranja socijalne pomoći za socijalno najugroženije i najranjivije skupine građana. Radi se</w:t>
      </w:r>
      <w:r w:rsidRPr="00C41768">
        <w:rPr>
          <w:rFonts w:ascii="Arial" w:eastAsia="Times New Roman" w:hAnsi="Arial" w:cs="Arial"/>
          <w:b/>
          <w:bCs/>
          <w:color w:val="000000"/>
          <w:kern w:val="0"/>
          <w:sz w:val="24"/>
          <w:szCs w:val="24"/>
          <w:lang w:eastAsia="hr-HR"/>
          <w14:ligatures w14:val="none"/>
        </w:rPr>
        <w:t xml:space="preserve"> </w:t>
      </w:r>
      <w:r w:rsidRPr="00C41768">
        <w:rPr>
          <w:rFonts w:ascii="Arial" w:eastAsia="Times New Roman" w:hAnsi="Arial" w:cs="Arial"/>
          <w:color w:val="000000"/>
          <w:kern w:val="0"/>
          <w:sz w:val="24"/>
          <w:szCs w:val="24"/>
          <w:lang w:eastAsia="hr-HR"/>
          <w14:ligatures w14:val="none"/>
        </w:rPr>
        <w:t xml:space="preserve">o građanima koji ostvaruju pravo na pomoć prema </w:t>
      </w:r>
      <w:r w:rsidRPr="00C41768">
        <w:rPr>
          <w:rFonts w:ascii="Arial" w:eastAsia="Times New Roman" w:hAnsi="Arial" w:cs="Arial"/>
          <w:color w:val="000000"/>
          <w:kern w:val="0"/>
          <w:sz w:val="24"/>
          <w:szCs w:val="24"/>
          <w:lang w:eastAsia="hr-HR"/>
          <w14:ligatures w14:val="none"/>
        </w:rPr>
        <w:lastRenderedPageBreak/>
        <w:t xml:space="preserve">kriterijima utvrđenim Odlukom o socijalnoj skrbi. Program podrazumijeva pružanje pomoći socijalno ugroženom stanovništvu, a u svrhu podmirenja troškova stanovanja, podmirenja troškova prehrane učenika osnovnih škola, pomoći za nabavu ogrijeva, pomoći za opremu novorođenčadi te naknadu pogrebnih troškova. Zatim, financiranje udžbenika, potpore studentima, sufinanciranje prijevoza učenika srednjih škola, sufinanciranje kupovine nekretnina za mlade osobe, tekuće donacije udrugama socijalne zaštite te humanitarnim organizacijama - Crveni križ. 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Također pomoći udrugama koje se bave socijalnim i humanitarnim radom. </w:t>
      </w:r>
    </w:p>
    <w:p w14:paraId="0EB7C5DD"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Zakonska osnova </w:t>
      </w:r>
      <w:r w:rsidRPr="00C41768">
        <w:rPr>
          <w:rFonts w:ascii="Arial" w:eastAsia="Times New Roman" w:hAnsi="Arial" w:cs="Arial"/>
          <w:color w:val="000000"/>
          <w:kern w:val="0"/>
          <w:sz w:val="24"/>
          <w:szCs w:val="24"/>
          <w:lang w:eastAsia="hr-HR"/>
          <w14:ligatures w14:val="none"/>
        </w:rPr>
        <w:t>za uvođenje programa: Zakon o lokalnoj i područnoj (regionalnoj) samoupravi („NN“ broj 33/01, 60/01, 129/05, 109/07, 125/08, 36/09,</w:t>
      </w:r>
    </w:p>
    <w:p w14:paraId="3B2E757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150/11, 144/12, 19/13, 137/15, 123/17, 98/19 i 144/20); Zakon o socijalnoj skrbi („NN“ broj 18/22, 46/22, 119/22, 71/23, 156/23 i 61/25); Zakon o udrugama („NN“ broj 74/14, 70/17, 98/19 i 151/22); Pravilnik o načinu i rokovima plaćanja sredstava iz prihoda JLP(R)S za rad ustrojstvenih oblika HCK („NN“ broj 18/11).</w:t>
      </w:r>
    </w:p>
    <w:p w14:paraId="005E442F"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 xml:space="preserve">Sredstva za realizaciju programa: </w:t>
      </w:r>
      <w:r w:rsidRPr="00C41768">
        <w:rPr>
          <w:rFonts w:ascii="Arial" w:eastAsia="Times New Roman" w:hAnsi="Arial" w:cs="Arial"/>
          <w:color w:val="000000"/>
          <w:kern w:val="0"/>
          <w:sz w:val="24"/>
          <w:szCs w:val="24"/>
          <w:lang w:eastAsia="hr-HR"/>
          <w14:ligatures w14:val="none"/>
        </w:rPr>
        <w:t>u 2026. godini iznose 559.033,34 eura.</w:t>
      </w:r>
    </w:p>
    <w:p w14:paraId="3B6A77A5"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Broj korisnika socijalne pomoći</w:t>
      </w:r>
      <w:r w:rsidRPr="00C41768">
        <w:rPr>
          <w:rFonts w:ascii="Arial" w:eastAsia="Times New Roman" w:hAnsi="Arial" w:cs="Arial"/>
          <w:b/>
          <w:bCs/>
          <w:color w:val="000000"/>
          <w:kern w:val="0"/>
          <w:sz w:val="24"/>
          <w:szCs w:val="24"/>
          <w:lang w:eastAsia="hr-HR"/>
          <w14:ligatures w14:val="none"/>
        </w:rPr>
        <w:t xml:space="preserve">; </w:t>
      </w:r>
      <w:r w:rsidRPr="00C41768">
        <w:rPr>
          <w:rFonts w:ascii="Arial" w:eastAsia="Times New Roman" w:hAnsi="Arial" w:cs="Arial"/>
          <w:color w:val="000000"/>
          <w:kern w:val="0"/>
          <w:sz w:val="24"/>
          <w:szCs w:val="24"/>
          <w:lang w:eastAsia="hr-HR"/>
          <w14:ligatures w14:val="none"/>
        </w:rPr>
        <w:t>broj učenika korisnika prijevoza za srednje škole; broj učenika kojima se sufinancira nabava udžbenika; broj korisnika stipendija; broj udruga socijalne zaštite; broj novorođene djece; broj mladih koji se odlučuju na kupovinu nekretnine.</w:t>
      </w:r>
    </w:p>
    <w:p w14:paraId="7E7CD41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5E1C589"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Program 1015: Ostale udruge</w:t>
      </w:r>
    </w:p>
    <w:p w14:paraId="1163D564"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Opis i cilj programa: </w:t>
      </w:r>
      <w:r w:rsidRPr="00C41768">
        <w:rPr>
          <w:rFonts w:ascii="Arial" w:eastAsia="Times New Roman" w:hAnsi="Arial" w:cs="Arial"/>
          <w:color w:val="000000"/>
          <w:kern w:val="0"/>
          <w:sz w:val="24"/>
          <w:szCs w:val="24"/>
          <w:lang w:eastAsia="hr-HR"/>
          <w14:ligatures w14:val="none"/>
        </w:rPr>
        <w:t>Programom se nastavlja suradnja s neprofitnim organizacijama  kojima se potiče razvoj demokracije na lokalnoj i regionalnoj razini. Nastoje se preko Turističke zajednice stvoriti pretpostavke za pokretanje razvoja turizma na području Grada. Cilj programa je stvaranje poticajnog okruženja za razvoj civilnog društva kroz programe, projekte i aktivnosti koje unapređuju kvalitetu života građana. Razvoj konkurentnog i održivog gospodarstva, a posebni ciljevi su stvaranje uvjeta za obavljanje djelatnosti te priprema projekata za dobivanje sredstava iz fondova, a sa svrhom iskorištenja osnovnih resursa prirodne i kulturne baštine kako bi Grad postao prepoznatljiva i atraktivna turistička destinacija.</w:t>
      </w:r>
    </w:p>
    <w:p w14:paraId="3DFE0EC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Zakonska osnova</w:t>
      </w:r>
      <w:r w:rsidRPr="00C41768">
        <w:rPr>
          <w:rFonts w:ascii="Arial" w:eastAsia="Times New Roman" w:hAnsi="Arial" w:cs="Arial"/>
          <w:color w:val="000000"/>
          <w:kern w:val="0"/>
          <w:sz w:val="24"/>
          <w:szCs w:val="24"/>
          <w:lang w:eastAsia="hr-HR"/>
          <w14:ligatures w14:val="none"/>
        </w:rPr>
        <w:t xml:space="preserve"> za uvođenje programa: Zakon o udrugama („NN“ broj 74/14, 70/17, 98/19 i 151/22); Zakon o turističkim zajednicama i promicanju hrvatskog turizma </w:t>
      </w:r>
      <w:bookmarkStart w:id="2" w:name="_Hlk58317592"/>
      <w:r w:rsidRPr="00C41768">
        <w:rPr>
          <w:rFonts w:ascii="Arial" w:eastAsia="Times New Roman" w:hAnsi="Arial" w:cs="Arial"/>
          <w:color w:val="000000"/>
          <w:kern w:val="0"/>
          <w:sz w:val="24"/>
          <w:szCs w:val="24"/>
          <w:lang w:eastAsia="hr-HR"/>
          <w14:ligatures w14:val="none"/>
        </w:rPr>
        <w:t>(„NN“ broj 52/19, 42/20)</w:t>
      </w:r>
      <w:bookmarkEnd w:id="2"/>
      <w:r w:rsidRPr="00C41768">
        <w:rPr>
          <w:rFonts w:ascii="Arial" w:eastAsia="Times New Roman" w:hAnsi="Arial" w:cs="Arial"/>
          <w:color w:val="000000"/>
          <w:kern w:val="0"/>
          <w:sz w:val="24"/>
          <w:szCs w:val="24"/>
          <w:lang w:eastAsia="hr-HR"/>
          <w14:ligatures w14:val="none"/>
        </w:rPr>
        <w:t>; Statut Grada Donjeg Miholjca („Sl. glasnik Grada Donjeg Miholjca broj 1/21 i 9/22).</w:t>
      </w:r>
    </w:p>
    <w:p w14:paraId="5689E400"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Sredstva za realizaciju programa</w:t>
      </w:r>
      <w:r w:rsidRPr="00C41768">
        <w:rPr>
          <w:rFonts w:ascii="Arial" w:eastAsia="Times New Roman" w:hAnsi="Arial" w:cs="Arial"/>
          <w:color w:val="000000"/>
          <w:kern w:val="0"/>
          <w:sz w:val="24"/>
          <w:szCs w:val="24"/>
          <w:lang w:eastAsia="hr-HR"/>
          <w14:ligatures w14:val="none"/>
        </w:rPr>
        <w:t xml:space="preserve"> u 2026. godini iznose 76.000,00 eura.</w:t>
      </w:r>
    </w:p>
    <w:p w14:paraId="02FCA99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b/>
          <w:bCs/>
          <w:color w:val="000000"/>
          <w:kern w:val="0"/>
          <w:sz w:val="24"/>
          <w:szCs w:val="24"/>
          <w:lang w:eastAsia="hr-HR"/>
          <w14:ligatures w14:val="none"/>
        </w:rPr>
        <w:t>Pokazatelji uspješnosti:</w:t>
      </w:r>
      <w:r w:rsidRPr="00C41768">
        <w:rPr>
          <w:rFonts w:ascii="Arial" w:eastAsia="Times New Roman" w:hAnsi="Arial" w:cs="Arial"/>
          <w:color w:val="000000"/>
          <w:kern w:val="0"/>
          <w:sz w:val="24"/>
          <w:szCs w:val="24"/>
          <w:lang w:eastAsia="hr-HR"/>
          <w14:ligatures w14:val="none"/>
        </w:rPr>
        <w:t xml:space="preserve"> broj neprofitnih organizacija čije programe financijski podržava Grad, broj dolazaka turista, broj opremljenih centara za posjetitelje.</w:t>
      </w:r>
    </w:p>
    <w:p w14:paraId="32020A2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34C31EC"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r>
      <w:bookmarkStart w:id="3" w:name="_Hlk54699371"/>
      <w:r w:rsidRPr="00C41768">
        <w:rPr>
          <w:rFonts w:ascii="Arial" w:eastAsia="Times New Roman" w:hAnsi="Arial" w:cs="Arial"/>
          <w:b/>
          <w:bCs/>
          <w:color w:val="000000"/>
          <w:kern w:val="0"/>
          <w:sz w:val="24"/>
          <w:szCs w:val="24"/>
          <w:lang w:eastAsia="hr-HR"/>
          <w14:ligatures w14:val="none"/>
        </w:rPr>
        <w:t>Program 1016: Službe emitiranja i izdavanja</w:t>
      </w:r>
    </w:p>
    <w:p w14:paraId="6D23D43E"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Opis i cilj programa:</w:t>
      </w:r>
    </w:p>
    <w:p w14:paraId="1292407E"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Zakonska osnova </w:t>
      </w:r>
      <w:r w:rsidRPr="00C41768">
        <w:rPr>
          <w:rFonts w:ascii="Arial" w:eastAsia="Times New Roman" w:hAnsi="Arial" w:cs="Arial"/>
          <w:color w:val="000000"/>
          <w:kern w:val="0"/>
          <w:sz w:val="24"/>
          <w:szCs w:val="24"/>
          <w:lang w:eastAsia="hr-HR"/>
          <w14:ligatures w14:val="none"/>
        </w:rPr>
        <w:t>za uvođenje programa: sufinanciranje trgovačkih društava u većinskom vlasništvu, Zakon o lokalnoj i područnoj (regionalnoj) samoupravi („NN“ broj 33/01, 60/01, 129/05, 109/07, 125/08, 36/09, 150/11, 144/12, 19/13, 137/15, 123/17, 98/19 i 144/20).</w:t>
      </w:r>
    </w:p>
    <w:p w14:paraId="0FC0DFE4"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Sredstva za realizaciju programa </w:t>
      </w:r>
      <w:r w:rsidRPr="00C41768">
        <w:rPr>
          <w:rFonts w:ascii="Arial" w:eastAsia="Times New Roman" w:hAnsi="Arial" w:cs="Arial"/>
          <w:color w:val="000000"/>
          <w:kern w:val="0"/>
          <w:sz w:val="24"/>
          <w:szCs w:val="24"/>
          <w:lang w:eastAsia="hr-HR"/>
          <w14:ligatures w14:val="none"/>
        </w:rPr>
        <w:t>za 2026. godinu iznose 45.000,00 eura.</w:t>
      </w:r>
    </w:p>
    <w:p w14:paraId="7559F78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što veća informiranost pučanstva na našem području</w:t>
      </w:r>
      <w:bookmarkEnd w:id="3"/>
      <w:r w:rsidRPr="00C41768">
        <w:rPr>
          <w:rFonts w:ascii="Arial" w:eastAsia="Times New Roman" w:hAnsi="Arial" w:cs="Arial"/>
          <w:color w:val="000000"/>
          <w:kern w:val="0"/>
          <w:sz w:val="24"/>
          <w:szCs w:val="24"/>
          <w:lang w:eastAsia="hr-HR"/>
          <w14:ligatures w14:val="none"/>
        </w:rPr>
        <w:t>.</w:t>
      </w:r>
    </w:p>
    <w:p w14:paraId="177AF89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39FE2B7"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Program 1017: Otklanjanje posljedica elementarnih nepogoda</w:t>
      </w:r>
    </w:p>
    <w:p w14:paraId="07C97E38"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Opis i cilj programa: </w:t>
      </w:r>
      <w:r w:rsidRPr="00C41768">
        <w:rPr>
          <w:rFonts w:ascii="Arial" w:eastAsia="Times New Roman" w:hAnsi="Arial" w:cs="Arial"/>
          <w:color w:val="000000"/>
          <w:kern w:val="0"/>
          <w:sz w:val="24"/>
          <w:szCs w:val="24"/>
          <w:lang w:eastAsia="hr-HR"/>
          <w14:ligatures w14:val="none"/>
        </w:rPr>
        <w:t>Programom se želi ublažiti</w:t>
      </w:r>
      <w:r w:rsidRPr="00C41768">
        <w:rPr>
          <w:rFonts w:ascii="Arial" w:eastAsia="Times New Roman" w:hAnsi="Arial" w:cs="Arial"/>
          <w:b/>
          <w:bCs/>
          <w:color w:val="000000"/>
          <w:kern w:val="0"/>
          <w:sz w:val="24"/>
          <w:szCs w:val="24"/>
          <w:lang w:eastAsia="hr-HR"/>
          <w14:ligatures w14:val="none"/>
        </w:rPr>
        <w:t xml:space="preserve"> </w:t>
      </w:r>
      <w:r w:rsidRPr="00C41768">
        <w:rPr>
          <w:rFonts w:ascii="Arial" w:eastAsia="Times New Roman" w:hAnsi="Arial" w:cs="Arial"/>
          <w:color w:val="000000"/>
          <w:kern w:val="0"/>
          <w:sz w:val="24"/>
          <w:szCs w:val="24"/>
          <w:lang w:eastAsia="hr-HR"/>
          <w14:ligatures w14:val="none"/>
        </w:rPr>
        <w:t>posljedice od neželjenih elementarnih nepogoda.</w:t>
      </w:r>
    </w:p>
    <w:p w14:paraId="57FBE7DC"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Zakonska osnova </w:t>
      </w:r>
      <w:r w:rsidRPr="00C41768">
        <w:rPr>
          <w:rFonts w:ascii="Arial" w:eastAsia="Times New Roman" w:hAnsi="Arial" w:cs="Arial"/>
          <w:color w:val="000000"/>
          <w:kern w:val="0"/>
          <w:sz w:val="24"/>
          <w:szCs w:val="24"/>
          <w:lang w:eastAsia="hr-HR"/>
          <w14:ligatures w14:val="none"/>
        </w:rPr>
        <w:t>za uvođenje programa: Zakon o zaštiti od elementarnih nepogoda („NN“ broj 16/19); Zakon o lokalnoj i područnoj (regionalnoj) samoupravi („NN“ broj 33/01, 60/01, 129/05, 109/07, 125/08, 36/09, 150/11, 144/12, 19/13, 137/15, 123/17, 98/19 i 144/20)</w:t>
      </w:r>
    </w:p>
    <w:p w14:paraId="75FAC1A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Sredstva za realizaciju programa </w:t>
      </w:r>
      <w:r w:rsidRPr="00C41768">
        <w:rPr>
          <w:rFonts w:ascii="Arial" w:eastAsia="Times New Roman" w:hAnsi="Arial" w:cs="Arial"/>
          <w:color w:val="000000"/>
          <w:kern w:val="0"/>
          <w:sz w:val="24"/>
          <w:szCs w:val="24"/>
          <w:lang w:eastAsia="hr-HR"/>
          <w14:ligatures w14:val="none"/>
        </w:rPr>
        <w:t>za 2026. godinu iznose 7.700,00 eura</w:t>
      </w:r>
    </w:p>
    <w:p w14:paraId="2FE32E1B"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ab/>
        <w:t xml:space="preserve">Pokazatelji uspješnosti: </w:t>
      </w:r>
      <w:r w:rsidRPr="00C41768">
        <w:rPr>
          <w:rFonts w:ascii="Arial" w:eastAsia="Times New Roman" w:hAnsi="Arial" w:cs="Arial"/>
          <w:color w:val="000000"/>
          <w:kern w:val="0"/>
          <w:sz w:val="24"/>
          <w:szCs w:val="24"/>
          <w:lang w:eastAsia="hr-HR"/>
          <w14:ligatures w14:val="none"/>
        </w:rPr>
        <w:t>što manje elementarnih nepogoda.</w:t>
      </w:r>
    </w:p>
    <w:p w14:paraId="396C9BF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6A78076"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2F7F7C6" w14:textId="77777777" w:rsidR="00C41768" w:rsidRPr="00C41768" w:rsidRDefault="00C41768" w:rsidP="00C41768">
      <w:pPr>
        <w:numPr>
          <w:ilvl w:val="1"/>
          <w:numId w:val="21"/>
        </w:num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Rashodi i izdaci prema izvorima financiranja</w:t>
      </w:r>
    </w:p>
    <w:p w14:paraId="6DE936A7"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p>
    <w:p w14:paraId="26E288B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Uz ekonomsku, organizacijsku i programsku klasifikaciju, klasifikacija po </w:t>
      </w:r>
    </w:p>
    <w:p w14:paraId="5BA3016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izvorima financiranja uvedena je u sustav državnog proračuna, ali i proračuna jedinica lokalne samouprave, kako bi se osiguralo praćenje korištenja sredstava ostvarenih iz različitih izvora prihoda. Za svaki od prihoda određeno je uz koji se od izvora financiranja veže, a rashodi se izvršavaju s obzirom na plan i ostvarenje prihoda prema izvorima.</w:t>
      </w:r>
    </w:p>
    <w:p w14:paraId="1778FBF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ab/>
        <w:t>Izvori financiranja su skupine prihoda i primitaka iz kojih se podmiruju rashodi i</w:t>
      </w:r>
    </w:p>
    <w:p w14:paraId="1766499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izdaci određene vrste i utvrđene namjene.</w:t>
      </w:r>
    </w:p>
    <w:p w14:paraId="4A229F3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3083CBF" w14:textId="2DE95D7B" w:rsidR="00C41768" w:rsidRPr="00C41768" w:rsidRDefault="00C41768" w:rsidP="00C41768">
      <w:pPr>
        <w:numPr>
          <w:ilvl w:val="0"/>
          <w:numId w:val="21"/>
        </w:numPr>
        <w:autoSpaceDE w:val="0"/>
        <w:autoSpaceDN w:val="0"/>
        <w:adjustRightInd w:val="0"/>
        <w:spacing w:after="0" w:line="240" w:lineRule="auto"/>
        <w:jc w:val="both"/>
        <w:rPr>
          <w:rFonts w:ascii="Arial" w:eastAsia="Times New Roman" w:hAnsi="Arial" w:cs="Arial"/>
          <w:b/>
          <w:bCs/>
          <w:color w:val="000000"/>
          <w:kern w:val="0"/>
          <w:sz w:val="24"/>
          <w:szCs w:val="24"/>
          <w:lang w:eastAsia="hr-HR"/>
          <w14:ligatures w14:val="none"/>
        </w:rPr>
      </w:pPr>
      <w:r w:rsidRPr="00C41768">
        <w:rPr>
          <w:rFonts w:ascii="Arial" w:eastAsia="Times New Roman" w:hAnsi="Arial" w:cs="Arial"/>
          <w:b/>
          <w:bCs/>
          <w:color w:val="000000"/>
          <w:kern w:val="0"/>
          <w:sz w:val="24"/>
          <w:szCs w:val="24"/>
          <w:lang w:eastAsia="hr-HR"/>
          <w14:ligatures w14:val="none"/>
        </w:rPr>
        <w:t>OSTALI IZVJEŠTAJI</w:t>
      </w:r>
    </w:p>
    <w:p w14:paraId="7E0F3C02" w14:textId="77777777" w:rsidR="00C41768" w:rsidRPr="00C41768" w:rsidRDefault="00C41768" w:rsidP="007A17BA">
      <w:pPr>
        <w:autoSpaceDE w:val="0"/>
        <w:autoSpaceDN w:val="0"/>
        <w:adjustRightInd w:val="0"/>
        <w:spacing w:after="0" w:line="240" w:lineRule="auto"/>
        <w:jc w:val="right"/>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 iznosi u eurima</w:t>
      </w:r>
    </w:p>
    <w:p w14:paraId="297E03A7"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13"/>
        <w:gridCol w:w="1758"/>
        <w:gridCol w:w="1930"/>
      </w:tblGrid>
      <w:tr w:rsidR="00C41768" w:rsidRPr="00C41768" w14:paraId="765D4F26" w14:textId="77777777" w:rsidTr="007A17BA">
        <w:trPr>
          <w:trHeight w:val="1172"/>
          <w:jc w:val="center"/>
        </w:trPr>
        <w:tc>
          <w:tcPr>
            <w:tcW w:w="2736" w:type="dxa"/>
            <w:vAlign w:val="center"/>
          </w:tcPr>
          <w:p w14:paraId="625ED8EF"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NAZIV PRIHODA/RASHODA</w:t>
            </w:r>
          </w:p>
        </w:tc>
        <w:tc>
          <w:tcPr>
            <w:tcW w:w="1613" w:type="dxa"/>
            <w:vAlign w:val="center"/>
          </w:tcPr>
          <w:p w14:paraId="6BB53CA9"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OSTVARENO         2024.</w:t>
            </w:r>
          </w:p>
        </w:tc>
        <w:tc>
          <w:tcPr>
            <w:tcW w:w="1758" w:type="dxa"/>
            <w:vAlign w:val="center"/>
          </w:tcPr>
          <w:p w14:paraId="22E5188E"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I. IZMJENE I DOPUNE PLANA PRORAČUNA ZA 2025.</w:t>
            </w:r>
          </w:p>
        </w:tc>
        <w:tc>
          <w:tcPr>
            <w:tcW w:w="1930" w:type="dxa"/>
            <w:vAlign w:val="center"/>
          </w:tcPr>
          <w:p w14:paraId="49EBCE7C"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PLAN ZA  2026.</w:t>
            </w:r>
          </w:p>
        </w:tc>
      </w:tr>
      <w:tr w:rsidR="00C41768" w:rsidRPr="00C41768" w14:paraId="15E4D74E" w14:textId="77777777" w:rsidTr="007A17BA">
        <w:trPr>
          <w:trHeight w:val="189"/>
          <w:jc w:val="center"/>
        </w:trPr>
        <w:tc>
          <w:tcPr>
            <w:tcW w:w="2736" w:type="dxa"/>
            <w:vAlign w:val="center"/>
          </w:tcPr>
          <w:p w14:paraId="74B2586B"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color w:val="000000"/>
                <w:kern w:val="0"/>
                <w:sz w:val="18"/>
                <w:szCs w:val="18"/>
                <w:lang w:eastAsia="hr-HR"/>
                <w14:ligatures w14:val="none"/>
              </w:rPr>
            </w:pPr>
            <w:r w:rsidRPr="00C41768">
              <w:rPr>
                <w:rFonts w:ascii="Arial" w:eastAsia="Times New Roman" w:hAnsi="Arial" w:cs="Arial"/>
                <w:color w:val="000000"/>
                <w:kern w:val="0"/>
                <w:sz w:val="18"/>
                <w:szCs w:val="18"/>
                <w:lang w:eastAsia="hr-HR"/>
                <w14:ligatures w14:val="none"/>
              </w:rPr>
              <w:t>1</w:t>
            </w:r>
          </w:p>
        </w:tc>
        <w:tc>
          <w:tcPr>
            <w:tcW w:w="1613" w:type="dxa"/>
            <w:vAlign w:val="center"/>
          </w:tcPr>
          <w:p w14:paraId="78F6E532"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color w:val="000000"/>
                <w:kern w:val="0"/>
                <w:sz w:val="18"/>
                <w:szCs w:val="18"/>
                <w:lang w:eastAsia="hr-HR"/>
                <w14:ligatures w14:val="none"/>
              </w:rPr>
            </w:pPr>
            <w:r w:rsidRPr="00C41768">
              <w:rPr>
                <w:rFonts w:ascii="Arial" w:eastAsia="Times New Roman" w:hAnsi="Arial" w:cs="Arial"/>
                <w:color w:val="000000"/>
                <w:kern w:val="0"/>
                <w:sz w:val="18"/>
                <w:szCs w:val="18"/>
                <w:lang w:eastAsia="hr-HR"/>
                <w14:ligatures w14:val="none"/>
              </w:rPr>
              <w:t>2</w:t>
            </w:r>
          </w:p>
        </w:tc>
        <w:tc>
          <w:tcPr>
            <w:tcW w:w="1758" w:type="dxa"/>
            <w:vAlign w:val="center"/>
          </w:tcPr>
          <w:p w14:paraId="32C3B7C2"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color w:val="000000"/>
                <w:kern w:val="0"/>
                <w:sz w:val="18"/>
                <w:szCs w:val="18"/>
                <w:lang w:eastAsia="hr-HR"/>
                <w14:ligatures w14:val="none"/>
              </w:rPr>
            </w:pPr>
            <w:r w:rsidRPr="00C41768">
              <w:rPr>
                <w:rFonts w:ascii="Arial" w:eastAsia="Times New Roman" w:hAnsi="Arial" w:cs="Arial"/>
                <w:color w:val="000000"/>
                <w:kern w:val="0"/>
                <w:sz w:val="18"/>
                <w:szCs w:val="18"/>
                <w:lang w:eastAsia="hr-HR"/>
                <w14:ligatures w14:val="none"/>
              </w:rPr>
              <w:t>3</w:t>
            </w:r>
          </w:p>
        </w:tc>
        <w:tc>
          <w:tcPr>
            <w:tcW w:w="1930" w:type="dxa"/>
            <w:vAlign w:val="center"/>
          </w:tcPr>
          <w:p w14:paraId="196D6C6A"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color w:val="000000"/>
                <w:kern w:val="0"/>
                <w:sz w:val="18"/>
                <w:szCs w:val="18"/>
                <w:lang w:eastAsia="hr-HR"/>
                <w14:ligatures w14:val="none"/>
              </w:rPr>
            </w:pPr>
            <w:r w:rsidRPr="00C41768">
              <w:rPr>
                <w:rFonts w:ascii="Arial" w:eastAsia="Times New Roman" w:hAnsi="Arial" w:cs="Arial"/>
                <w:color w:val="000000"/>
                <w:kern w:val="0"/>
                <w:sz w:val="18"/>
                <w:szCs w:val="18"/>
                <w:lang w:eastAsia="hr-HR"/>
                <w14:ligatures w14:val="none"/>
              </w:rPr>
              <w:t>4</w:t>
            </w:r>
          </w:p>
        </w:tc>
      </w:tr>
      <w:tr w:rsidR="00C41768" w:rsidRPr="00C41768" w14:paraId="7F62E4DC" w14:textId="77777777" w:rsidTr="007A17BA">
        <w:trPr>
          <w:trHeight w:val="1172"/>
          <w:jc w:val="center"/>
        </w:trPr>
        <w:tc>
          <w:tcPr>
            <w:tcW w:w="2736" w:type="dxa"/>
          </w:tcPr>
          <w:p w14:paraId="0724990A"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Prihodi poslovanja (6)               Prihodi od prodaje nefinancijske imovine (7)       Primici od financijske imovine i zaduživanja (8)</w:t>
            </w:r>
          </w:p>
        </w:tc>
        <w:tc>
          <w:tcPr>
            <w:tcW w:w="1613" w:type="dxa"/>
          </w:tcPr>
          <w:p w14:paraId="220FD5F9"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6.703.745,68   100.743,92</w:t>
            </w:r>
          </w:p>
          <w:p w14:paraId="549073EB"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 xml:space="preserve">                                                             0,00</w:t>
            </w:r>
          </w:p>
        </w:tc>
        <w:tc>
          <w:tcPr>
            <w:tcW w:w="1758" w:type="dxa"/>
          </w:tcPr>
          <w:p w14:paraId="44BBDCA2"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10.865.061,18</w:t>
            </w:r>
          </w:p>
          <w:p w14:paraId="760BF9A8"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151.300,00</w:t>
            </w:r>
          </w:p>
          <w:p w14:paraId="447594D2"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p w14:paraId="6DDB209E"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1.300.000,00</w:t>
            </w:r>
          </w:p>
        </w:tc>
        <w:tc>
          <w:tcPr>
            <w:tcW w:w="1930" w:type="dxa"/>
          </w:tcPr>
          <w:p w14:paraId="0A7F2F8F"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9.751.351,39</w:t>
            </w:r>
          </w:p>
          <w:p w14:paraId="4C5032A0"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151.300,00</w:t>
            </w:r>
          </w:p>
          <w:p w14:paraId="3BB30E60"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p w14:paraId="5F3B4214"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1.300.000,00</w:t>
            </w:r>
          </w:p>
        </w:tc>
      </w:tr>
      <w:tr w:rsidR="00C41768" w:rsidRPr="00C41768" w14:paraId="403939C6" w14:textId="77777777" w:rsidTr="007A17BA">
        <w:trPr>
          <w:trHeight w:val="459"/>
          <w:jc w:val="center"/>
        </w:trPr>
        <w:tc>
          <w:tcPr>
            <w:tcW w:w="2736" w:type="dxa"/>
          </w:tcPr>
          <w:p w14:paraId="0FF2C5D5"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UKUPNO PRIHODI I PRIMICI (6+7+8)</w:t>
            </w:r>
          </w:p>
        </w:tc>
        <w:tc>
          <w:tcPr>
            <w:tcW w:w="1613" w:type="dxa"/>
            <w:vAlign w:val="center"/>
          </w:tcPr>
          <w:p w14:paraId="6F9C443C" w14:textId="77777777" w:rsidR="00C41768" w:rsidRPr="00C41768" w:rsidRDefault="00C41768" w:rsidP="00C41768">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6.804.489,60</w:t>
            </w:r>
          </w:p>
        </w:tc>
        <w:tc>
          <w:tcPr>
            <w:tcW w:w="1758" w:type="dxa"/>
            <w:vAlign w:val="center"/>
          </w:tcPr>
          <w:p w14:paraId="58F2930D" w14:textId="77777777" w:rsidR="00C41768" w:rsidRPr="00C41768" w:rsidRDefault="00C41768" w:rsidP="00C41768">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 xml:space="preserve">12.316.361,18 </w:t>
            </w:r>
          </w:p>
        </w:tc>
        <w:tc>
          <w:tcPr>
            <w:tcW w:w="1930" w:type="dxa"/>
            <w:vAlign w:val="center"/>
          </w:tcPr>
          <w:p w14:paraId="6D00513B" w14:textId="77777777" w:rsidR="00C41768" w:rsidRPr="00C41768" w:rsidRDefault="00C41768" w:rsidP="00C41768">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11.202.651,39</w:t>
            </w:r>
          </w:p>
        </w:tc>
      </w:tr>
      <w:tr w:rsidR="00C41768" w:rsidRPr="00C41768" w14:paraId="725C71C6" w14:textId="77777777" w:rsidTr="007A17BA">
        <w:trPr>
          <w:trHeight w:val="1172"/>
          <w:jc w:val="center"/>
        </w:trPr>
        <w:tc>
          <w:tcPr>
            <w:tcW w:w="2736" w:type="dxa"/>
          </w:tcPr>
          <w:p w14:paraId="6E6A25C9"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Rashodi poslovanja (3)</w:t>
            </w:r>
          </w:p>
          <w:p w14:paraId="79388D72"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Rashodi za nefinancijsku imovinu  (4)</w:t>
            </w:r>
          </w:p>
          <w:p w14:paraId="09975151"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 xml:space="preserve">Izdaci za financijsku imovinu (5)  </w:t>
            </w:r>
          </w:p>
        </w:tc>
        <w:tc>
          <w:tcPr>
            <w:tcW w:w="1613" w:type="dxa"/>
          </w:tcPr>
          <w:p w14:paraId="0D17507E"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4.587.742,81</w:t>
            </w:r>
          </w:p>
          <w:p w14:paraId="5277B0DD"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1.807.280,52</w:t>
            </w:r>
          </w:p>
          <w:p w14:paraId="54C8E5E0"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p w14:paraId="3A27A92D"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 xml:space="preserve">0,00               </w:t>
            </w:r>
          </w:p>
        </w:tc>
        <w:tc>
          <w:tcPr>
            <w:tcW w:w="1758" w:type="dxa"/>
          </w:tcPr>
          <w:p w14:paraId="1E920548"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7.102.893,54</w:t>
            </w:r>
          </w:p>
          <w:p w14:paraId="62E15E24"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6.724.215,00</w:t>
            </w:r>
          </w:p>
          <w:p w14:paraId="7AE573C0"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p w14:paraId="4F968370"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0,00</w:t>
            </w:r>
          </w:p>
        </w:tc>
        <w:tc>
          <w:tcPr>
            <w:tcW w:w="1930" w:type="dxa"/>
          </w:tcPr>
          <w:p w14:paraId="5C3D2EBC"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7.210.974,41</w:t>
            </w:r>
          </w:p>
          <w:p w14:paraId="3236D457"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4.702.424,34</w:t>
            </w:r>
          </w:p>
          <w:p w14:paraId="7C7CD29C"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p>
          <w:p w14:paraId="5BA8B60A"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800.000,00</w:t>
            </w:r>
          </w:p>
        </w:tc>
      </w:tr>
      <w:tr w:rsidR="00C41768" w:rsidRPr="00C41768" w14:paraId="1A2E2F9E" w14:textId="77777777" w:rsidTr="007A17BA">
        <w:trPr>
          <w:trHeight w:val="288"/>
          <w:jc w:val="center"/>
        </w:trPr>
        <w:tc>
          <w:tcPr>
            <w:tcW w:w="2736" w:type="dxa"/>
          </w:tcPr>
          <w:p w14:paraId="5F85B875" w14:textId="77777777" w:rsidR="00C41768" w:rsidRPr="00C41768" w:rsidRDefault="00C41768" w:rsidP="00C41768">
            <w:pPr>
              <w:autoSpaceDE w:val="0"/>
              <w:autoSpaceDN w:val="0"/>
              <w:adjustRightInd w:val="0"/>
              <w:spacing w:after="0" w:line="240" w:lineRule="auto"/>
              <w:jc w:val="both"/>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UKUPNO RASHODI I IZDACI (3+4+5)</w:t>
            </w:r>
          </w:p>
        </w:tc>
        <w:tc>
          <w:tcPr>
            <w:tcW w:w="1613" w:type="dxa"/>
            <w:vAlign w:val="center"/>
          </w:tcPr>
          <w:p w14:paraId="28024057" w14:textId="77777777" w:rsidR="00C41768" w:rsidRPr="00C41768" w:rsidRDefault="00C41768" w:rsidP="00C41768">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6.395.023,33</w:t>
            </w:r>
          </w:p>
        </w:tc>
        <w:tc>
          <w:tcPr>
            <w:tcW w:w="1758" w:type="dxa"/>
            <w:vAlign w:val="center"/>
          </w:tcPr>
          <w:p w14:paraId="796B094B" w14:textId="77777777" w:rsidR="00C41768" w:rsidRPr="00C41768" w:rsidRDefault="00C41768" w:rsidP="00C41768">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13.827.108,54</w:t>
            </w:r>
          </w:p>
        </w:tc>
        <w:tc>
          <w:tcPr>
            <w:tcW w:w="1930" w:type="dxa"/>
            <w:vAlign w:val="center"/>
          </w:tcPr>
          <w:p w14:paraId="1A506B39" w14:textId="77777777" w:rsidR="00C41768" w:rsidRPr="00C41768" w:rsidRDefault="00C41768" w:rsidP="00C41768">
            <w:pPr>
              <w:autoSpaceDE w:val="0"/>
              <w:autoSpaceDN w:val="0"/>
              <w:adjustRightInd w:val="0"/>
              <w:spacing w:after="0" w:line="240" w:lineRule="auto"/>
              <w:jc w:val="right"/>
              <w:rPr>
                <w:rFonts w:ascii="Arial" w:eastAsia="Times New Roman" w:hAnsi="Arial" w:cs="Arial"/>
                <w:b/>
                <w:color w:val="000000"/>
                <w:kern w:val="0"/>
                <w:sz w:val="20"/>
                <w:szCs w:val="20"/>
                <w:lang w:eastAsia="hr-HR"/>
                <w14:ligatures w14:val="none"/>
              </w:rPr>
            </w:pPr>
            <w:r w:rsidRPr="00C41768">
              <w:rPr>
                <w:rFonts w:ascii="Arial" w:eastAsia="Times New Roman" w:hAnsi="Arial" w:cs="Arial"/>
                <w:b/>
                <w:color w:val="000000"/>
                <w:kern w:val="0"/>
                <w:sz w:val="20"/>
                <w:szCs w:val="20"/>
                <w:lang w:eastAsia="hr-HR"/>
                <w14:ligatures w14:val="none"/>
              </w:rPr>
              <w:t>12.713.398,75</w:t>
            </w:r>
          </w:p>
        </w:tc>
      </w:tr>
      <w:tr w:rsidR="00C41768" w:rsidRPr="00C41768" w14:paraId="3CF83264" w14:textId="77777777" w:rsidTr="007A17BA">
        <w:trPr>
          <w:trHeight w:val="229"/>
          <w:jc w:val="center"/>
        </w:trPr>
        <w:tc>
          <w:tcPr>
            <w:tcW w:w="2736" w:type="dxa"/>
          </w:tcPr>
          <w:p w14:paraId="78E585E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RAZLIKA-MANJAK/VIŠAK</w:t>
            </w:r>
          </w:p>
        </w:tc>
        <w:tc>
          <w:tcPr>
            <w:tcW w:w="1613" w:type="dxa"/>
          </w:tcPr>
          <w:p w14:paraId="184FEAE2"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409.466,27</w:t>
            </w:r>
          </w:p>
        </w:tc>
        <w:tc>
          <w:tcPr>
            <w:tcW w:w="1758" w:type="dxa"/>
          </w:tcPr>
          <w:p w14:paraId="4CF29779"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-1.510.747,36</w:t>
            </w:r>
          </w:p>
        </w:tc>
        <w:tc>
          <w:tcPr>
            <w:tcW w:w="1930" w:type="dxa"/>
          </w:tcPr>
          <w:p w14:paraId="11A9DFB7"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-1.510.747,36</w:t>
            </w:r>
          </w:p>
        </w:tc>
      </w:tr>
    </w:tbl>
    <w:p w14:paraId="00EB15B8" w14:textId="14CD2E68"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556"/>
        <w:gridCol w:w="2003"/>
        <w:gridCol w:w="1842"/>
      </w:tblGrid>
      <w:tr w:rsidR="00C41768" w:rsidRPr="00C41768" w14:paraId="734715EE" w14:textId="77777777" w:rsidTr="007A17BA">
        <w:trPr>
          <w:jc w:val="center"/>
        </w:trPr>
        <w:tc>
          <w:tcPr>
            <w:tcW w:w="2645" w:type="dxa"/>
            <w:vAlign w:val="center"/>
          </w:tcPr>
          <w:p w14:paraId="55ACDC27"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PRIJENOS VIŠKA/MANJKA IZ PRETHODNE(IH) GODINA</w:t>
            </w:r>
          </w:p>
        </w:tc>
        <w:tc>
          <w:tcPr>
            <w:tcW w:w="1556" w:type="dxa"/>
            <w:vAlign w:val="center"/>
          </w:tcPr>
          <w:p w14:paraId="6386B9BB"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 xml:space="preserve">1.101.281,09 </w:t>
            </w:r>
          </w:p>
        </w:tc>
        <w:tc>
          <w:tcPr>
            <w:tcW w:w="2003" w:type="dxa"/>
            <w:vAlign w:val="center"/>
          </w:tcPr>
          <w:p w14:paraId="42902003"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1.510.747,36</w:t>
            </w:r>
          </w:p>
        </w:tc>
        <w:tc>
          <w:tcPr>
            <w:tcW w:w="1842" w:type="dxa"/>
            <w:vAlign w:val="center"/>
          </w:tcPr>
          <w:p w14:paraId="2E28EE34"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1.510.747,36</w:t>
            </w:r>
          </w:p>
        </w:tc>
      </w:tr>
    </w:tbl>
    <w:p w14:paraId="092151E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E4F1FD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1558"/>
        <w:gridCol w:w="1994"/>
        <w:gridCol w:w="1842"/>
      </w:tblGrid>
      <w:tr w:rsidR="00C41768" w:rsidRPr="00C41768" w14:paraId="5D665E7A" w14:textId="77777777" w:rsidTr="007A17BA">
        <w:trPr>
          <w:jc w:val="center"/>
        </w:trPr>
        <w:tc>
          <w:tcPr>
            <w:tcW w:w="2652" w:type="dxa"/>
            <w:vAlign w:val="center"/>
          </w:tcPr>
          <w:p w14:paraId="1C858C05" w14:textId="77777777" w:rsidR="00C41768" w:rsidRPr="00C41768" w:rsidRDefault="00C41768" w:rsidP="00C41768">
            <w:pPr>
              <w:autoSpaceDE w:val="0"/>
              <w:autoSpaceDN w:val="0"/>
              <w:adjustRightInd w:val="0"/>
              <w:spacing w:after="0" w:line="240" w:lineRule="auto"/>
              <w:jc w:val="center"/>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VIŠAK/MANJAK + NETO FINANCIRANJE + PRIJENOS VIŠKA/MANJKA IZ PRETHODNE(IH) GODINE – U SLJEDEĆE RAZDOBLJE</w:t>
            </w:r>
          </w:p>
        </w:tc>
        <w:tc>
          <w:tcPr>
            <w:tcW w:w="1558" w:type="dxa"/>
            <w:vAlign w:val="center"/>
          </w:tcPr>
          <w:p w14:paraId="4A595A88"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1.510.747,36</w:t>
            </w:r>
          </w:p>
        </w:tc>
        <w:tc>
          <w:tcPr>
            <w:tcW w:w="1994" w:type="dxa"/>
            <w:vAlign w:val="center"/>
          </w:tcPr>
          <w:p w14:paraId="60F2EE84"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 xml:space="preserve">0,00 </w:t>
            </w:r>
          </w:p>
        </w:tc>
        <w:tc>
          <w:tcPr>
            <w:tcW w:w="1842" w:type="dxa"/>
            <w:vAlign w:val="center"/>
          </w:tcPr>
          <w:p w14:paraId="62B5395C" w14:textId="77777777" w:rsidR="00C41768" w:rsidRPr="00C41768" w:rsidRDefault="00C41768" w:rsidP="00C41768">
            <w:pPr>
              <w:autoSpaceDE w:val="0"/>
              <w:autoSpaceDN w:val="0"/>
              <w:adjustRightInd w:val="0"/>
              <w:spacing w:after="0" w:line="240" w:lineRule="auto"/>
              <w:jc w:val="right"/>
              <w:rPr>
                <w:rFonts w:ascii="Arial" w:eastAsia="Times New Roman" w:hAnsi="Arial" w:cs="Arial"/>
                <w:color w:val="000000"/>
                <w:kern w:val="0"/>
                <w:sz w:val="20"/>
                <w:szCs w:val="20"/>
                <w:lang w:eastAsia="hr-HR"/>
                <w14:ligatures w14:val="none"/>
              </w:rPr>
            </w:pPr>
            <w:r w:rsidRPr="00C41768">
              <w:rPr>
                <w:rFonts w:ascii="Arial" w:eastAsia="Times New Roman" w:hAnsi="Arial" w:cs="Arial"/>
                <w:color w:val="000000"/>
                <w:kern w:val="0"/>
                <w:sz w:val="20"/>
                <w:szCs w:val="20"/>
                <w:lang w:eastAsia="hr-HR"/>
                <w14:ligatures w14:val="none"/>
              </w:rPr>
              <w:t>0,00</w:t>
            </w:r>
          </w:p>
        </w:tc>
      </w:tr>
    </w:tbl>
    <w:p w14:paraId="242AA568"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13184DB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Proračun se sastoji se od prihoda u iznosu od 9.902.651,39 eura (prihodi poslovanja i prihodi od prodaje nefinancijske imovine), primitaka od zaduživanja 1.300.000,00 eura; od rashoda  u iznosu 11.913.398,75 eura ( rashodi poslovanja i rashodi za nabavu nefinancijske imovine) i izdataka za financijsku imovinu i otplatu zajmova u iznosu 800.000,00 eura.</w:t>
      </w:r>
    </w:p>
    <w:p w14:paraId="6268D14A" w14:textId="77777777" w:rsidR="00C3122E" w:rsidRDefault="00C3122E">
      <w:pPr>
        <w:rPr>
          <w:rFonts w:ascii="Arial" w:eastAsia="Times New Roman" w:hAnsi="Arial" w:cs="Arial"/>
          <w:color w:val="000000"/>
          <w:kern w:val="0"/>
          <w:sz w:val="24"/>
          <w:szCs w:val="24"/>
          <w:lang w:eastAsia="hr-HR"/>
          <w14:ligatures w14:val="none"/>
        </w:rPr>
      </w:pPr>
      <w:r>
        <w:rPr>
          <w:rFonts w:ascii="Arial" w:eastAsia="Times New Roman" w:hAnsi="Arial" w:cs="Arial"/>
          <w:color w:val="000000"/>
          <w:kern w:val="0"/>
          <w:sz w:val="24"/>
          <w:szCs w:val="24"/>
          <w:lang w:eastAsia="hr-HR"/>
          <w14:ligatures w14:val="none"/>
        </w:rPr>
        <w:br w:type="page"/>
      </w:r>
    </w:p>
    <w:p w14:paraId="779E9043" w14:textId="7457ABDA"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lastRenderedPageBreak/>
        <w:t>Raspoloživa sredstva iz proteklih godina za Plan proračuna 2026. godine u iznosu 1.510.747,36 eura sastoje se od rezultata za 2024. godinu:</w:t>
      </w:r>
    </w:p>
    <w:p w14:paraId="1911639C"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4B272885" w14:textId="77777777" w:rsidR="00C41768" w:rsidRPr="00C41768" w:rsidRDefault="00C41768" w:rsidP="00C41768">
      <w:pPr>
        <w:numPr>
          <w:ilvl w:val="0"/>
          <w:numId w:val="8"/>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Viška Grada</w:t>
      </w: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color w:val="000000"/>
          <w:kern w:val="0"/>
          <w:sz w:val="24"/>
          <w:szCs w:val="24"/>
          <w:lang w:eastAsia="hr-HR"/>
          <w14:ligatures w14:val="none"/>
        </w:rPr>
        <w:tab/>
        <w:t xml:space="preserve">         1.591.876,27 eura</w:t>
      </w:r>
    </w:p>
    <w:p w14:paraId="384A4FC8" w14:textId="77777777" w:rsidR="00C41768" w:rsidRPr="00C41768" w:rsidRDefault="00C41768" w:rsidP="00C41768">
      <w:pPr>
        <w:numPr>
          <w:ilvl w:val="0"/>
          <w:numId w:val="8"/>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Manjka Gradske knjižnice</w:t>
      </w:r>
      <w:r w:rsidRPr="00C41768">
        <w:rPr>
          <w:rFonts w:ascii="Arial" w:eastAsia="Times New Roman" w:hAnsi="Arial" w:cs="Arial"/>
          <w:color w:val="000000"/>
          <w:kern w:val="0"/>
          <w:sz w:val="24"/>
          <w:szCs w:val="24"/>
          <w:lang w:eastAsia="hr-HR"/>
          <w14:ligatures w14:val="none"/>
        </w:rPr>
        <w:tab/>
      </w:r>
      <w:r w:rsidRPr="00C41768">
        <w:rPr>
          <w:rFonts w:ascii="Arial" w:eastAsia="Times New Roman" w:hAnsi="Arial" w:cs="Arial"/>
          <w:color w:val="000000"/>
          <w:kern w:val="0"/>
          <w:sz w:val="24"/>
          <w:szCs w:val="24"/>
          <w:lang w:eastAsia="hr-HR"/>
          <w14:ligatures w14:val="none"/>
        </w:rPr>
        <w:tab/>
        <w:t xml:space="preserve">     4.598,84 eura</w:t>
      </w:r>
    </w:p>
    <w:p w14:paraId="15E380DA" w14:textId="77777777" w:rsidR="00C41768" w:rsidRPr="00C41768" w:rsidRDefault="00C41768" w:rsidP="00C41768">
      <w:pPr>
        <w:numPr>
          <w:ilvl w:val="0"/>
          <w:numId w:val="8"/>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Manjka Dječjeg vrtića Pinokio</w:t>
      </w:r>
      <w:r w:rsidRPr="00C41768">
        <w:rPr>
          <w:rFonts w:ascii="Arial" w:eastAsia="Times New Roman" w:hAnsi="Arial" w:cs="Arial"/>
          <w:color w:val="000000"/>
          <w:kern w:val="0"/>
          <w:sz w:val="24"/>
          <w:szCs w:val="24"/>
          <w:lang w:eastAsia="hr-HR"/>
          <w14:ligatures w14:val="none"/>
        </w:rPr>
        <w:tab/>
        <w:t xml:space="preserve">              76.530,07 eura </w:t>
      </w:r>
    </w:p>
    <w:p w14:paraId="53D2F2D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5EBA7B5E"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 xml:space="preserve">Cilj predloženog  Plana proračuna Grada Donjeg Miholjca </w:t>
      </w:r>
    </w:p>
    <w:p w14:paraId="331BA283" w14:textId="77777777" w:rsidR="00C41768" w:rsidRPr="00C41768" w:rsidRDefault="00C41768" w:rsidP="00C41768">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8F925F4" w14:textId="3F020927" w:rsidR="00C41768" w:rsidRDefault="00C41768" w:rsidP="00C41768">
      <w:pPr>
        <w:numPr>
          <w:ilvl w:val="0"/>
          <w:numId w:val="6"/>
        </w:num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Izvršiti raspored raspoloživih sredstava iz protekle godine, uključujući i raspoloživa sredstva proračunskih korisnika prema Zakonu o proračunu.</w:t>
      </w:r>
    </w:p>
    <w:p w14:paraId="6825B206" w14:textId="77777777" w:rsidR="00C3122E" w:rsidRDefault="00C3122E" w:rsidP="00C3122E">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66887A32" w14:textId="77777777" w:rsidR="00C3122E" w:rsidRPr="00C3122E" w:rsidRDefault="00C3122E" w:rsidP="00C3122E">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p>
    <w:p w14:paraId="3931DE54" w14:textId="77777777" w:rsidR="00C41768" w:rsidRPr="00C41768" w:rsidRDefault="00C41768" w:rsidP="00C41768">
      <w:p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KLASA: 400-02/25-01/2</w:t>
      </w:r>
    </w:p>
    <w:p w14:paraId="492B0A71" w14:textId="3DEEC41D" w:rsidR="00C41768" w:rsidRPr="00C41768" w:rsidRDefault="00C41768" w:rsidP="00C41768">
      <w:pPr>
        <w:autoSpaceDE w:val="0"/>
        <w:autoSpaceDN w:val="0"/>
        <w:adjustRightInd w:val="0"/>
        <w:spacing w:after="0" w:line="240" w:lineRule="auto"/>
        <w:jc w:val="both"/>
        <w:rPr>
          <w:rFonts w:ascii="Arial" w:eastAsia="Times New Roman" w:hAnsi="Arial" w:cs="Arial"/>
          <w:kern w:val="0"/>
          <w:sz w:val="24"/>
          <w:szCs w:val="24"/>
          <w:lang w:eastAsia="hr-HR"/>
          <w14:ligatures w14:val="none"/>
        </w:rPr>
      </w:pPr>
      <w:r w:rsidRPr="00C41768">
        <w:rPr>
          <w:rFonts w:ascii="Arial" w:eastAsia="Times New Roman" w:hAnsi="Arial" w:cs="Arial"/>
          <w:kern w:val="0"/>
          <w:sz w:val="24"/>
          <w:szCs w:val="24"/>
          <w:lang w:eastAsia="hr-HR"/>
          <w14:ligatures w14:val="none"/>
        </w:rPr>
        <w:t>URBROJ: 2158-5-05-02/01-25-</w:t>
      </w:r>
      <w:r w:rsidR="009E3CA5">
        <w:rPr>
          <w:rFonts w:ascii="Arial" w:eastAsia="Times New Roman" w:hAnsi="Arial" w:cs="Arial"/>
          <w:kern w:val="0"/>
          <w:sz w:val="24"/>
          <w:szCs w:val="24"/>
          <w:lang w:eastAsia="hr-HR"/>
          <w14:ligatures w14:val="none"/>
        </w:rPr>
        <w:t>7</w:t>
      </w:r>
    </w:p>
    <w:p w14:paraId="2D41B2BA" w14:textId="380DCB97" w:rsidR="00450B9B" w:rsidRPr="007A17BA" w:rsidRDefault="00C41768" w:rsidP="007A17BA">
      <w:pPr>
        <w:autoSpaceDE w:val="0"/>
        <w:autoSpaceDN w:val="0"/>
        <w:adjustRightInd w:val="0"/>
        <w:spacing w:after="0" w:line="240" w:lineRule="auto"/>
        <w:jc w:val="both"/>
        <w:rPr>
          <w:rFonts w:ascii="Arial" w:eastAsia="Times New Roman" w:hAnsi="Arial" w:cs="Arial"/>
          <w:color w:val="000000"/>
          <w:kern w:val="0"/>
          <w:sz w:val="24"/>
          <w:szCs w:val="24"/>
          <w:lang w:eastAsia="hr-HR"/>
          <w14:ligatures w14:val="none"/>
        </w:rPr>
      </w:pPr>
      <w:r w:rsidRPr="00C41768">
        <w:rPr>
          <w:rFonts w:ascii="Arial" w:eastAsia="Times New Roman" w:hAnsi="Arial" w:cs="Arial"/>
          <w:color w:val="000000"/>
          <w:kern w:val="0"/>
          <w:sz w:val="24"/>
          <w:szCs w:val="24"/>
          <w:lang w:eastAsia="hr-HR"/>
          <w14:ligatures w14:val="none"/>
        </w:rPr>
        <w:t>Donji Miholjac,  14. studenoga 2025.</w:t>
      </w:r>
    </w:p>
    <w:sectPr w:rsidR="00450B9B" w:rsidRPr="007A17BA" w:rsidSect="00C41768">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467"/>
    <w:multiLevelType w:val="multilevel"/>
    <w:tmpl w:val="96EEB7CC"/>
    <w:lvl w:ilvl="0">
      <w:start w:val="4"/>
      <w:numFmt w:val="decimal"/>
      <w:lvlText w:val="%1."/>
      <w:lvlJc w:val="left"/>
      <w:pPr>
        <w:ind w:left="585" w:hanging="585"/>
      </w:pPr>
      <w:rPr>
        <w:rFonts w:hint="default"/>
      </w:rPr>
    </w:lvl>
    <w:lvl w:ilvl="1">
      <w:start w:val="2"/>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15:restartNumberingAfterBreak="0">
    <w:nsid w:val="17501E52"/>
    <w:multiLevelType w:val="hybridMultilevel"/>
    <w:tmpl w:val="BDAC012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260FB"/>
    <w:multiLevelType w:val="hybridMultilevel"/>
    <w:tmpl w:val="A08CA832"/>
    <w:lvl w:ilvl="0" w:tplc="89367A0C">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9BE3DF1"/>
    <w:multiLevelType w:val="hybridMultilevel"/>
    <w:tmpl w:val="270AEE9E"/>
    <w:lvl w:ilvl="0" w:tplc="ABFED1CC">
      <w:numFmt w:val="bullet"/>
      <w:lvlText w:val="-"/>
      <w:lvlJc w:val="left"/>
      <w:pPr>
        <w:ind w:left="1068" w:hanging="360"/>
      </w:pPr>
      <w:rPr>
        <w:rFonts w:ascii="Arial" w:eastAsia="Times New Roman" w:hAnsi="Arial" w:cs="Arial" w:hint="default"/>
        <w:color w:val="auto"/>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F954895"/>
    <w:multiLevelType w:val="multilevel"/>
    <w:tmpl w:val="23247EA8"/>
    <w:lvl w:ilvl="0">
      <w:start w:val="4"/>
      <w:numFmt w:val="decimal"/>
      <w:lvlText w:val="%1."/>
      <w:lvlJc w:val="left"/>
      <w:pPr>
        <w:ind w:left="585" w:hanging="585"/>
      </w:pPr>
      <w:rPr>
        <w:rFonts w:hint="default"/>
      </w:rPr>
    </w:lvl>
    <w:lvl w:ilvl="1">
      <w:start w:val="3"/>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2FB43C85"/>
    <w:multiLevelType w:val="hybridMultilevel"/>
    <w:tmpl w:val="5B6E1A3A"/>
    <w:lvl w:ilvl="0" w:tplc="D2AEE94A">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6B211D6"/>
    <w:multiLevelType w:val="hybridMultilevel"/>
    <w:tmpl w:val="CAF832F2"/>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E7CEC"/>
    <w:multiLevelType w:val="hybridMultilevel"/>
    <w:tmpl w:val="03787E82"/>
    <w:lvl w:ilvl="0" w:tplc="041A0001">
      <w:start w:val="1"/>
      <w:numFmt w:val="bullet"/>
      <w:lvlText w:val=""/>
      <w:lvlJc w:val="left"/>
      <w:pPr>
        <w:ind w:left="1211"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39930C39"/>
    <w:multiLevelType w:val="hybridMultilevel"/>
    <w:tmpl w:val="0F9C4B94"/>
    <w:lvl w:ilvl="0" w:tplc="1264E85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9C160AB"/>
    <w:multiLevelType w:val="multilevel"/>
    <w:tmpl w:val="5258860A"/>
    <w:lvl w:ilvl="0">
      <w:start w:val="4"/>
      <w:numFmt w:val="decimal"/>
      <w:lvlText w:val="%1."/>
      <w:lvlJc w:val="left"/>
      <w:pPr>
        <w:ind w:left="727" w:hanging="585"/>
      </w:pPr>
      <w:rPr>
        <w:rFonts w:hint="default"/>
        <w:b/>
        <w:bCs/>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A214F75"/>
    <w:multiLevelType w:val="hybridMultilevel"/>
    <w:tmpl w:val="F50A05F6"/>
    <w:lvl w:ilvl="0" w:tplc="041A000B">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7780CF8"/>
    <w:multiLevelType w:val="multilevel"/>
    <w:tmpl w:val="6EC0462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0E0C58"/>
    <w:multiLevelType w:val="multilevel"/>
    <w:tmpl w:val="AF32956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10448EC"/>
    <w:multiLevelType w:val="hybridMultilevel"/>
    <w:tmpl w:val="988223E4"/>
    <w:lvl w:ilvl="0" w:tplc="610470BA">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0A3EFD"/>
    <w:multiLevelType w:val="hybridMultilevel"/>
    <w:tmpl w:val="5D644C4A"/>
    <w:lvl w:ilvl="0" w:tplc="298A13C8">
      <w:start w:val="1"/>
      <w:numFmt w:val="decimal"/>
      <w:lvlText w:val="%1."/>
      <w:lvlJc w:val="left"/>
      <w:pPr>
        <w:ind w:left="1211" w:hanging="360"/>
      </w:pPr>
      <w:rPr>
        <w:rFonts w:hint="default"/>
        <w:sz w:val="24"/>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5" w15:restartNumberingAfterBreak="0">
    <w:nsid w:val="5C2E2038"/>
    <w:multiLevelType w:val="hybridMultilevel"/>
    <w:tmpl w:val="1E20F2AA"/>
    <w:lvl w:ilvl="0" w:tplc="57E8D280">
      <w:start w:val="1"/>
      <w:numFmt w:val="upperRoman"/>
      <w:lvlText w:val="%1."/>
      <w:lvlJc w:val="left"/>
      <w:pPr>
        <w:ind w:left="3555" w:hanging="720"/>
      </w:pPr>
      <w:rPr>
        <w:rFonts w:hint="default"/>
      </w:rPr>
    </w:lvl>
    <w:lvl w:ilvl="1" w:tplc="041A0019" w:tentative="1">
      <w:start w:val="1"/>
      <w:numFmt w:val="lowerLetter"/>
      <w:lvlText w:val="%2."/>
      <w:lvlJc w:val="left"/>
      <w:pPr>
        <w:ind w:left="3915" w:hanging="360"/>
      </w:pPr>
    </w:lvl>
    <w:lvl w:ilvl="2" w:tplc="041A001B" w:tentative="1">
      <w:start w:val="1"/>
      <w:numFmt w:val="lowerRoman"/>
      <w:lvlText w:val="%3."/>
      <w:lvlJc w:val="right"/>
      <w:pPr>
        <w:ind w:left="4635" w:hanging="180"/>
      </w:pPr>
    </w:lvl>
    <w:lvl w:ilvl="3" w:tplc="041A000F" w:tentative="1">
      <w:start w:val="1"/>
      <w:numFmt w:val="decimal"/>
      <w:lvlText w:val="%4."/>
      <w:lvlJc w:val="left"/>
      <w:pPr>
        <w:ind w:left="5355" w:hanging="360"/>
      </w:pPr>
    </w:lvl>
    <w:lvl w:ilvl="4" w:tplc="041A0019" w:tentative="1">
      <w:start w:val="1"/>
      <w:numFmt w:val="lowerLetter"/>
      <w:lvlText w:val="%5."/>
      <w:lvlJc w:val="left"/>
      <w:pPr>
        <w:ind w:left="6075" w:hanging="360"/>
      </w:pPr>
    </w:lvl>
    <w:lvl w:ilvl="5" w:tplc="041A001B" w:tentative="1">
      <w:start w:val="1"/>
      <w:numFmt w:val="lowerRoman"/>
      <w:lvlText w:val="%6."/>
      <w:lvlJc w:val="right"/>
      <w:pPr>
        <w:ind w:left="6795" w:hanging="180"/>
      </w:pPr>
    </w:lvl>
    <w:lvl w:ilvl="6" w:tplc="041A000F" w:tentative="1">
      <w:start w:val="1"/>
      <w:numFmt w:val="decimal"/>
      <w:lvlText w:val="%7."/>
      <w:lvlJc w:val="left"/>
      <w:pPr>
        <w:ind w:left="7515" w:hanging="360"/>
      </w:pPr>
    </w:lvl>
    <w:lvl w:ilvl="7" w:tplc="041A0019" w:tentative="1">
      <w:start w:val="1"/>
      <w:numFmt w:val="lowerLetter"/>
      <w:lvlText w:val="%8."/>
      <w:lvlJc w:val="left"/>
      <w:pPr>
        <w:ind w:left="8235" w:hanging="360"/>
      </w:pPr>
    </w:lvl>
    <w:lvl w:ilvl="8" w:tplc="041A001B" w:tentative="1">
      <w:start w:val="1"/>
      <w:numFmt w:val="lowerRoman"/>
      <w:lvlText w:val="%9."/>
      <w:lvlJc w:val="right"/>
      <w:pPr>
        <w:ind w:left="8955" w:hanging="180"/>
      </w:pPr>
    </w:lvl>
  </w:abstractNum>
  <w:abstractNum w:abstractNumId="16" w15:restartNumberingAfterBreak="0">
    <w:nsid w:val="61FF4216"/>
    <w:multiLevelType w:val="hybridMultilevel"/>
    <w:tmpl w:val="3BD02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066F54"/>
    <w:multiLevelType w:val="hybridMultilevel"/>
    <w:tmpl w:val="9008EDD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03889"/>
    <w:multiLevelType w:val="hybridMultilevel"/>
    <w:tmpl w:val="49709B70"/>
    <w:lvl w:ilvl="0" w:tplc="041A0001">
      <w:start w:val="1"/>
      <w:numFmt w:val="bullet"/>
      <w:lvlText w:val=""/>
      <w:lvlJc w:val="left"/>
      <w:pPr>
        <w:ind w:left="6662" w:hanging="360"/>
      </w:pPr>
      <w:rPr>
        <w:rFonts w:ascii="Symbol" w:hAnsi="Symbol" w:hint="default"/>
      </w:rPr>
    </w:lvl>
    <w:lvl w:ilvl="1" w:tplc="041A0003" w:tentative="1">
      <w:start w:val="1"/>
      <w:numFmt w:val="bullet"/>
      <w:lvlText w:val="o"/>
      <w:lvlJc w:val="left"/>
      <w:pPr>
        <w:ind w:left="7382" w:hanging="360"/>
      </w:pPr>
      <w:rPr>
        <w:rFonts w:ascii="Courier New" w:hAnsi="Courier New" w:cs="Courier New" w:hint="default"/>
      </w:rPr>
    </w:lvl>
    <w:lvl w:ilvl="2" w:tplc="041A0005" w:tentative="1">
      <w:start w:val="1"/>
      <w:numFmt w:val="bullet"/>
      <w:lvlText w:val=""/>
      <w:lvlJc w:val="left"/>
      <w:pPr>
        <w:ind w:left="8102" w:hanging="360"/>
      </w:pPr>
      <w:rPr>
        <w:rFonts w:ascii="Wingdings" w:hAnsi="Wingdings" w:hint="default"/>
      </w:rPr>
    </w:lvl>
    <w:lvl w:ilvl="3" w:tplc="041A0001" w:tentative="1">
      <w:start w:val="1"/>
      <w:numFmt w:val="bullet"/>
      <w:lvlText w:val=""/>
      <w:lvlJc w:val="left"/>
      <w:pPr>
        <w:ind w:left="8822" w:hanging="360"/>
      </w:pPr>
      <w:rPr>
        <w:rFonts w:ascii="Symbol" w:hAnsi="Symbol" w:hint="default"/>
      </w:rPr>
    </w:lvl>
    <w:lvl w:ilvl="4" w:tplc="041A0003" w:tentative="1">
      <w:start w:val="1"/>
      <w:numFmt w:val="bullet"/>
      <w:lvlText w:val="o"/>
      <w:lvlJc w:val="left"/>
      <w:pPr>
        <w:ind w:left="9542" w:hanging="360"/>
      </w:pPr>
      <w:rPr>
        <w:rFonts w:ascii="Courier New" w:hAnsi="Courier New" w:cs="Courier New" w:hint="default"/>
      </w:rPr>
    </w:lvl>
    <w:lvl w:ilvl="5" w:tplc="041A0005" w:tentative="1">
      <w:start w:val="1"/>
      <w:numFmt w:val="bullet"/>
      <w:lvlText w:val=""/>
      <w:lvlJc w:val="left"/>
      <w:pPr>
        <w:ind w:left="10262" w:hanging="360"/>
      </w:pPr>
      <w:rPr>
        <w:rFonts w:ascii="Wingdings" w:hAnsi="Wingdings" w:hint="default"/>
      </w:rPr>
    </w:lvl>
    <w:lvl w:ilvl="6" w:tplc="041A0001" w:tentative="1">
      <w:start w:val="1"/>
      <w:numFmt w:val="bullet"/>
      <w:lvlText w:val=""/>
      <w:lvlJc w:val="left"/>
      <w:pPr>
        <w:ind w:left="10982" w:hanging="360"/>
      </w:pPr>
      <w:rPr>
        <w:rFonts w:ascii="Symbol" w:hAnsi="Symbol" w:hint="default"/>
      </w:rPr>
    </w:lvl>
    <w:lvl w:ilvl="7" w:tplc="041A0003" w:tentative="1">
      <w:start w:val="1"/>
      <w:numFmt w:val="bullet"/>
      <w:lvlText w:val="o"/>
      <w:lvlJc w:val="left"/>
      <w:pPr>
        <w:ind w:left="11702" w:hanging="360"/>
      </w:pPr>
      <w:rPr>
        <w:rFonts w:ascii="Courier New" w:hAnsi="Courier New" w:cs="Courier New" w:hint="default"/>
      </w:rPr>
    </w:lvl>
    <w:lvl w:ilvl="8" w:tplc="041A0005" w:tentative="1">
      <w:start w:val="1"/>
      <w:numFmt w:val="bullet"/>
      <w:lvlText w:val=""/>
      <w:lvlJc w:val="left"/>
      <w:pPr>
        <w:ind w:left="12422" w:hanging="360"/>
      </w:pPr>
      <w:rPr>
        <w:rFonts w:ascii="Wingdings" w:hAnsi="Wingdings" w:hint="default"/>
      </w:rPr>
    </w:lvl>
  </w:abstractNum>
  <w:abstractNum w:abstractNumId="19" w15:restartNumberingAfterBreak="0">
    <w:nsid w:val="7940508E"/>
    <w:multiLevelType w:val="hybridMultilevel"/>
    <w:tmpl w:val="25D81C7E"/>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num w:numId="1" w16cid:durableId="184902786">
    <w:abstractNumId w:val="15"/>
  </w:num>
  <w:num w:numId="2" w16cid:durableId="290521535">
    <w:abstractNumId w:val="10"/>
  </w:num>
  <w:num w:numId="3" w16cid:durableId="476842253">
    <w:abstractNumId w:val="1"/>
  </w:num>
  <w:num w:numId="4" w16cid:durableId="2047362689">
    <w:abstractNumId w:val="17"/>
  </w:num>
  <w:num w:numId="5" w16cid:durableId="1978216057">
    <w:abstractNumId w:val="6"/>
  </w:num>
  <w:num w:numId="6" w16cid:durableId="125634579">
    <w:abstractNumId w:val="2"/>
  </w:num>
  <w:num w:numId="7" w16cid:durableId="1852983962">
    <w:abstractNumId w:val="5"/>
  </w:num>
  <w:num w:numId="8" w16cid:durableId="8483008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11882">
    <w:abstractNumId w:val="14"/>
  </w:num>
  <w:num w:numId="10" w16cid:durableId="1278759247">
    <w:abstractNumId w:val="8"/>
  </w:num>
  <w:num w:numId="11" w16cid:durableId="51537453">
    <w:abstractNumId w:val="18"/>
  </w:num>
  <w:num w:numId="12" w16cid:durableId="302857170">
    <w:abstractNumId w:val="19"/>
  </w:num>
  <w:num w:numId="13" w16cid:durableId="401605023">
    <w:abstractNumId w:val="12"/>
  </w:num>
  <w:num w:numId="14" w16cid:durableId="1379818955">
    <w:abstractNumId w:val="7"/>
  </w:num>
  <w:num w:numId="15" w16cid:durableId="1850440629">
    <w:abstractNumId w:val="3"/>
  </w:num>
  <w:num w:numId="16" w16cid:durableId="656811074">
    <w:abstractNumId w:val="13"/>
  </w:num>
  <w:num w:numId="17" w16cid:durableId="1017392763">
    <w:abstractNumId w:val="16"/>
  </w:num>
  <w:num w:numId="18" w16cid:durableId="1633555479">
    <w:abstractNumId w:val="0"/>
  </w:num>
  <w:num w:numId="19" w16cid:durableId="1663968052">
    <w:abstractNumId w:val="4"/>
  </w:num>
  <w:num w:numId="20" w16cid:durableId="781412503">
    <w:abstractNumId w:val="9"/>
  </w:num>
  <w:num w:numId="21" w16cid:durableId="1107384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9B"/>
    <w:rsid w:val="000C19DE"/>
    <w:rsid w:val="00151D92"/>
    <w:rsid w:val="001C14C8"/>
    <w:rsid w:val="002046ED"/>
    <w:rsid w:val="0021297B"/>
    <w:rsid w:val="002150EB"/>
    <w:rsid w:val="003539A2"/>
    <w:rsid w:val="003A2753"/>
    <w:rsid w:val="003A4155"/>
    <w:rsid w:val="003F1411"/>
    <w:rsid w:val="004273F9"/>
    <w:rsid w:val="00450B9B"/>
    <w:rsid w:val="00463D35"/>
    <w:rsid w:val="00483575"/>
    <w:rsid w:val="005C1547"/>
    <w:rsid w:val="005F3EBD"/>
    <w:rsid w:val="00603A98"/>
    <w:rsid w:val="006A1FB0"/>
    <w:rsid w:val="007A17BA"/>
    <w:rsid w:val="007F1079"/>
    <w:rsid w:val="007F4B88"/>
    <w:rsid w:val="008B08E9"/>
    <w:rsid w:val="00903489"/>
    <w:rsid w:val="00982D7D"/>
    <w:rsid w:val="009B0AFF"/>
    <w:rsid w:val="009E3CA5"/>
    <w:rsid w:val="00A527B0"/>
    <w:rsid w:val="00B01C29"/>
    <w:rsid w:val="00C3122E"/>
    <w:rsid w:val="00C41768"/>
    <w:rsid w:val="00CD512C"/>
    <w:rsid w:val="00D37DAA"/>
    <w:rsid w:val="00D424F6"/>
    <w:rsid w:val="00D518E3"/>
    <w:rsid w:val="00D82C3C"/>
    <w:rsid w:val="00D97537"/>
    <w:rsid w:val="00E85159"/>
    <w:rsid w:val="00E90785"/>
    <w:rsid w:val="00EC10B0"/>
    <w:rsid w:val="00EE27ED"/>
    <w:rsid w:val="00F347DB"/>
    <w:rsid w:val="00F711DE"/>
    <w:rsid w:val="00FA1E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EEF0"/>
  <w15:chartTrackingRefBased/>
  <w15:docId w15:val="{BEF668C0-8E5D-424D-8F83-68DD21A1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50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50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50B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50B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50B9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50B9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50B9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50B9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50B9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0B9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50B9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50B9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50B9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50B9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50B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50B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50B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50B9B"/>
    <w:rPr>
      <w:rFonts w:eastAsiaTheme="majorEastAsia" w:cstheme="majorBidi"/>
      <w:color w:val="272727" w:themeColor="text1" w:themeTint="D8"/>
    </w:rPr>
  </w:style>
  <w:style w:type="paragraph" w:styleId="Naslov">
    <w:name w:val="Title"/>
    <w:basedOn w:val="Normal"/>
    <w:next w:val="Normal"/>
    <w:link w:val="NaslovChar"/>
    <w:uiPriority w:val="10"/>
    <w:qFormat/>
    <w:rsid w:val="00450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50B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50B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50B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0B9B"/>
    <w:pPr>
      <w:spacing w:before="160"/>
      <w:jc w:val="center"/>
    </w:pPr>
    <w:rPr>
      <w:i/>
      <w:iCs/>
      <w:color w:val="404040" w:themeColor="text1" w:themeTint="BF"/>
    </w:rPr>
  </w:style>
  <w:style w:type="character" w:customStyle="1" w:styleId="CitatChar">
    <w:name w:val="Citat Char"/>
    <w:basedOn w:val="Zadanifontodlomka"/>
    <w:link w:val="Citat"/>
    <w:uiPriority w:val="29"/>
    <w:rsid w:val="00450B9B"/>
    <w:rPr>
      <w:i/>
      <w:iCs/>
      <w:color w:val="404040" w:themeColor="text1" w:themeTint="BF"/>
    </w:rPr>
  </w:style>
  <w:style w:type="paragraph" w:styleId="Odlomakpopisa">
    <w:name w:val="List Paragraph"/>
    <w:basedOn w:val="Normal"/>
    <w:uiPriority w:val="34"/>
    <w:qFormat/>
    <w:rsid w:val="00450B9B"/>
    <w:pPr>
      <w:ind w:left="720"/>
      <w:contextualSpacing/>
    </w:pPr>
  </w:style>
  <w:style w:type="character" w:styleId="Jakoisticanje">
    <w:name w:val="Intense Emphasis"/>
    <w:basedOn w:val="Zadanifontodlomka"/>
    <w:uiPriority w:val="21"/>
    <w:qFormat/>
    <w:rsid w:val="00450B9B"/>
    <w:rPr>
      <w:i/>
      <w:iCs/>
      <w:color w:val="0F4761" w:themeColor="accent1" w:themeShade="BF"/>
    </w:rPr>
  </w:style>
  <w:style w:type="paragraph" w:styleId="Naglaencitat">
    <w:name w:val="Intense Quote"/>
    <w:basedOn w:val="Normal"/>
    <w:next w:val="Normal"/>
    <w:link w:val="NaglaencitatChar"/>
    <w:uiPriority w:val="30"/>
    <w:qFormat/>
    <w:rsid w:val="00450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50B9B"/>
    <w:rPr>
      <w:i/>
      <w:iCs/>
      <w:color w:val="0F4761" w:themeColor="accent1" w:themeShade="BF"/>
    </w:rPr>
  </w:style>
  <w:style w:type="character" w:styleId="Istaknutareferenca">
    <w:name w:val="Intense Reference"/>
    <w:basedOn w:val="Zadanifontodlomka"/>
    <w:uiPriority w:val="32"/>
    <w:qFormat/>
    <w:rsid w:val="00450B9B"/>
    <w:rPr>
      <w:b/>
      <w:bCs/>
      <w:smallCaps/>
      <w:color w:val="0F4761" w:themeColor="accent1" w:themeShade="BF"/>
      <w:spacing w:val="5"/>
    </w:rPr>
  </w:style>
  <w:style w:type="numbering" w:customStyle="1" w:styleId="Bezpopisa1">
    <w:name w:val="Bez popisa1"/>
    <w:next w:val="Bezpopisa"/>
    <w:uiPriority w:val="99"/>
    <w:semiHidden/>
    <w:unhideWhenUsed/>
    <w:rsid w:val="00903489"/>
  </w:style>
  <w:style w:type="character" w:styleId="Hiperveza">
    <w:name w:val="Hyperlink"/>
    <w:basedOn w:val="Zadanifontodlomka"/>
    <w:uiPriority w:val="99"/>
    <w:unhideWhenUsed/>
    <w:rsid w:val="00903489"/>
    <w:rPr>
      <w:color w:val="467886"/>
      <w:u w:val="single"/>
    </w:rPr>
  </w:style>
  <w:style w:type="character" w:styleId="SlijeenaHiperveza">
    <w:name w:val="FollowedHyperlink"/>
    <w:basedOn w:val="Zadanifontodlomka"/>
    <w:uiPriority w:val="99"/>
    <w:semiHidden/>
    <w:unhideWhenUsed/>
    <w:rsid w:val="00903489"/>
    <w:rPr>
      <w:color w:val="96607D"/>
      <w:u w:val="single"/>
    </w:rPr>
  </w:style>
  <w:style w:type="paragraph" w:customStyle="1" w:styleId="msonormal0">
    <w:name w:val="msonormal"/>
    <w:basedOn w:val="Normal"/>
    <w:rsid w:val="0090348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63">
    <w:name w:val="xl63"/>
    <w:basedOn w:val="Normal"/>
    <w:rsid w:val="0090348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64">
    <w:name w:val="xl64"/>
    <w:basedOn w:val="Normal"/>
    <w:rsid w:val="00903489"/>
    <w:pPr>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xl65">
    <w:name w:val="xl65"/>
    <w:basedOn w:val="Normal"/>
    <w:rsid w:val="00903489"/>
    <w:pPr>
      <w:spacing w:before="100" w:beforeAutospacing="1" w:after="100" w:afterAutospacing="1" w:line="240" w:lineRule="auto"/>
      <w:textAlignment w:val="center"/>
    </w:pPr>
    <w:rPr>
      <w:rFonts w:ascii="Aptos Narrow" w:eastAsia="Times New Roman" w:hAnsi="Aptos Narrow" w:cs="Times New Roman"/>
      <w:b/>
      <w:bCs/>
      <w:kern w:val="0"/>
      <w:sz w:val="36"/>
      <w:szCs w:val="36"/>
      <w:lang w:eastAsia="hr-HR"/>
      <w14:ligatures w14:val="none"/>
    </w:rPr>
  </w:style>
  <w:style w:type="paragraph" w:customStyle="1" w:styleId="xl66">
    <w:name w:val="xl66"/>
    <w:basedOn w:val="Normal"/>
    <w:rsid w:val="00903489"/>
    <w:pPr>
      <w:spacing w:before="100" w:beforeAutospacing="1" w:after="100" w:afterAutospacing="1" w:line="240" w:lineRule="auto"/>
      <w:textAlignment w:val="center"/>
    </w:pPr>
    <w:rPr>
      <w:rFonts w:ascii="Aptos Narrow" w:eastAsia="Times New Roman" w:hAnsi="Aptos Narrow" w:cs="Times New Roman"/>
      <w:kern w:val="0"/>
      <w:sz w:val="28"/>
      <w:szCs w:val="28"/>
      <w:lang w:eastAsia="hr-HR"/>
      <w14:ligatures w14:val="none"/>
    </w:rPr>
  </w:style>
  <w:style w:type="paragraph" w:customStyle="1" w:styleId="xl67">
    <w:name w:val="xl67"/>
    <w:basedOn w:val="Normal"/>
    <w:rsid w:val="00903489"/>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line="240" w:lineRule="auto"/>
    </w:pPr>
    <w:rPr>
      <w:rFonts w:ascii="Aptos Narrow" w:eastAsia="Times New Roman" w:hAnsi="Aptos Narrow" w:cs="Times New Roman"/>
      <w:b/>
      <w:bCs/>
      <w:color w:val="FFFFFF"/>
      <w:kern w:val="0"/>
      <w:sz w:val="24"/>
      <w:szCs w:val="24"/>
      <w:lang w:eastAsia="hr-HR"/>
      <w14:ligatures w14:val="none"/>
    </w:rPr>
  </w:style>
  <w:style w:type="paragraph" w:customStyle="1" w:styleId="xl68">
    <w:name w:val="xl68"/>
    <w:basedOn w:val="Normal"/>
    <w:rsid w:val="00903489"/>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line="240" w:lineRule="auto"/>
      <w:jc w:val="right"/>
    </w:pPr>
    <w:rPr>
      <w:rFonts w:ascii="Aptos Narrow" w:eastAsia="Times New Roman" w:hAnsi="Aptos Narrow" w:cs="Times New Roman"/>
      <w:b/>
      <w:bCs/>
      <w:color w:val="FFFFFF"/>
      <w:kern w:val="0"/>
      <w:sz w:val="24"/>
      <w:szCs w:val="24"/>
      <w:lang w:eastAsia="hr-HR"/>
      <w14:ligatures w14:val="none"/>
    </w:rPr>
  </w:style>
  <w:style w:type="paragraph" w:customStyle="1" w:styleId="xl69">
    <w:name w:val="xl69"/>
    <w:basedOn w:val="Normal"/>
    <w:rsid w:val="00903489"/>
    <w:pPr>
      <w:pBdr>
        <w:top w:val="single" w:sz="4" w:space="0" w:color="000000"/>
        <w:left w:val="single" w:sz="4" w:space="0" w:color="000000"/>
        <w:bottom w:val="single" w:sz="4" w:space="0" w:color="000000"/>
        <w:right w:val="single" w:sz="4" w:space="0" w:color="000000"/>
      </w:pBdr>
      <w:shd w:val="clear" w:color="000000" w:fill="D6DFEC"/>
      <w:spacing w:before="100" w:beforeAutospacing="1" w:after="100" w:afterAutospacing="1" w:line="240" w:lineRule="auto"/>
    </w:pPr>
    <w:rPr>
      <w:rFonts w:ascii="Aptos Narrow" w:eastAsia="Times New Roman" w:hAnsi="Aptos Narrow" w:cs="Times New Roman"/>
      <w:b/>
      <w:bCs/>
      <w:color w:val="000000"/>
      <w:kern w:val="0"/>
      <w:sz w:val="24"/>
      <w:szCs w:val="24"/>
      <w:lang w:eastAsia="hr-HR"/>
      <w14:ligatures w14:val="none"/>
    </w:rPr>
  </w:style>
  <w:style w:type="paragraph" w:customStyle="1" w:styleId="xl70">
    <w:name w:val="xl70"/>
    <w:basedOn w:val="Normal"/>
    <w:rsid w:val="00903489"/>
    <w:pPr>
      <w:pBdr>
        <w:top w:val="single" w:sz="4" w:space="0" w:color="000000"/>
        <w:left w:val="single" w:sz="4" w:space="0" w:color="000000"/>
        <w:bottom w:val="single" w:sz="4" w:space="0" w:color="000000"/>
        <w:right w:val="single" w:sz="4" w:space="0" w:color="000000"/>
      </w:pBdr>
      <w:shd w:val="clear" w:color="000000" w:fill="D6DFEC"/>
      <w:spacing w:before="100" w:beforeAutospacing="1" w:after="100" w:afterAutospacing="1" w:line="240" w:lineRule="auto"/>
      <w:jc w:val="right"/>
    </w:pPr>
    <w:rPr>
      <w:rFonts w:ascii="Aptos Narrow" w:eastAsia="Times New Roman" w:hAnsi="Aptos Narrow" w:cs="Times New Roman"/>
      <w:b/>
      <w:bCs/>
      <w:color w:val="000000"/>
      <w:kern w:val="0"/>
      <w:sz w:val="24"/>
      <w:szCs w:val="24"/>
      <w:lang w:eastAsia="hr-HR"/>
      <w14:ligatures w14:val="none"/>
    </w:rPr>
  </w:style>
  <w:style w:type="paragraph" w:customStyle="1" w:styleId="xl71">
    <w:name w:val="xl71"/>
    <w:basedOn w:val="Normal"/>
    <w:rsid w:val="00903489"/>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Aptos Narrow" w:eastAsia="Times New Roman" w:hAnsi="Aptos Narrow" w:cs="Times New Roman"/>
      <w:b/>
      <w:bCs/>
      <w:color w:val="000000"/>
      <w:kern w:val="0"/>
      <w:sz w:val="24"/>
      <w:szCs w:val="24"/>
      <w:lang w:eastAsia="hr-HR"/>
      <w14:ligatures w14:val="none"/>
    </w:rPr>
  </w:style>
  <w:style w:type="paragraph" w:customStyle="1" w:styleId="xl72">
    <w:name w:val="xl72"/>
    <w:basedOn w:val="Normal"/>
    <w:rsid w:val="00903489"/>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right"/>
    </w:pPr>
    <w:rPr>
      <w:rFonts w:ascii="Aptos Narrow" w:eastAsia="Times New Roman" w:hAnsi="Aptos Narrow" w:cs="Times New Roman"/>
      <w:b/>
      <w:bCs/>
      <w:color w:val="000000"/>
      <w:kern w:val="0"/>
      <w:sz w:val="24"/>
      <w:szCs w:val="24"/>
      <w:lang w:eastAsia="hr-HR"/>
      <w14:ligatures w14:val="none"/>
    </w:rPr>
  </w:style>
  <w:style w:type="paragraph" w:customStyle="1" w:styleId="xl73">
    <w:name w:val="xl73"/>
    <w:basedOn w:val="Normal"/>
    <w:rsid w:val="0090348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pPr>
    <w:rPr>
      <w:rFonts w:ascii="Aptos Narrow" w:eastAsia="Times New Roman" w:hAnsi="Aptos Narrow" w:cs="Times New Roman"/>
      <w:b/>
      <w:bCs/>
      <w:color w:val="000000"/>
      <w:kern w:val="0"/>
      <w:sz w:val="20"/>
      <w:szCs w:val="20"/>
      <w:lang w:eastAsia="hr-HR"/>
      <w14:ligatures w14:val="none"/>
    </w:rPr>
  </w:style>
  <w:style w:type="paragraph" w:customStyle="1" w:styleId="xl74">
    <w:name w:val="xl74"/>
    <w:basedOn w:val="Normal"/>
    <w:rsid w:val="0090348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right"/>
    </w:pPr>
    <w:rPr>
      <w:rFonts w:ascii="Aptos Narrow" w:eastAsia="Times New Roman" w:hAnsi="Aptos Narrow" w:cs="Times New Roman"/>
      <w:b/>
      <w:bCs/>
      <w:color w:val="000000"/>
      <w:kern w:val="0"/>
      <w:sz w:val="20"/>
      <w:szCs w:val="20"/>
      <w:lang w:eastAsia="hr-HR"/>
      <w14:ligatures w14:val="none"/>
    </w:rPr>
  </w:style>
  <w:style w:type="paragraph" w:customStyle="1" w:styleId="xl75">
    <w:name w:val="xl75"/>
    <w:basedOn w:val="Normal"/>
    <w:rsid w:val="00903489"/>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pPr>
    <w:rPr>
      <w:rFonts w:ascii="Times New Roman" w:eastAsia="Times New Roman" w:hAnsi="Times New Roman" w:cs="Times New Roman"/>
      <w:color w:val="000000"/>
      <w:kern w:val="0"/>
      <w:sz w:val="16"/>
      <w:szCs w:val="16"/>
      <w:lang w:eastAsia="hr-HR"/>
      <w14:ligatures w14:val="none"/>
    </w:rPr>
  </w:style>
  <w:style w:type="paragraph" w:customStyle="1" w:styleId="xl76">
    <w:name w:val="xl76"/>
    <w:basedOn w:val="Normal"/>
    <w:rsid w:val="00903489"/>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pPr>
    <w:rPr>
      <w:rFonts w:ascii="Times New Roman" w:eastAsia="Times New Roman" w:hAnsi="Times New Roman" w:cs="Times New Roman"/>
      <w:color w:val="000000"/>
      <w:kern w:val="0"/>
      <w:sz w:val="16"/>
      <w:szCs w:val="16"/>
      <w:lang w:eastAsia="hr-HR"/>
      <w14:ligatures w14:val="none"/>
    </w:rPr>
  </w:style>
  <w:style w:type="paragraph" w:customStyle="1" w:styleId="xl77">
    <w:name w:val="xl77"/>
    <w:basedOn w:val="Normal"/>
    <w:rsid w:val="0090348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ptos Narrow" w:eastAsia="Times New Roman" w:hAnsi="Aptos Narrow" w:cs="Times New Roman"/>
      <w:b/>
      <w:bCs/>
      <w:color w:val="000000"/>
      <w:kern w:val="0"/>
      <w:sz w:val="20"/>
      <w:szCs w:val="20"/>
      <w:lang w:eastAsia="hr-HR"/>
      <w14:ligatures w14:val="none"/>
    </w:rPr>
  </w:style>
  <w:style w:type="paragraph" w:customStyle="1" w:styleId="xl78">
    <w:name w:val="xl78"/>
    <w:basedOn w:val="Normal"/>
    <w:rsid w:val="0090348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ptos Narrow" w:eastAsia="Times New Roman" w:hAnsi="Aptos Narrow" w:cs="Times New Roman"/>
      <w:b/>
      <w:bCs/>
      <w:color w:val="000000"/>
      <w:kern w:val="0"/>
      <w:sz w:val="20"/>
      <w:szCs w:val="20"/>
      <w:lang w:eastAsia="hr-HR"/>
      <w14:ligatures w14:val="none"/>
    </w:rPr>
  </w:style>
  <w:style w:type="paragraph" w:customStyle="1" w:styleId="xl79">
    <w:name w:val="xl79"/>
    <w:basedOn w:val="Normal"/>
    <w:rsid w:val="0090348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18"/>
      <w:szCs w:val="18"/>
      <w:lang w:eastAsia="hr-HR"/>
      <w14:ligatures w14:val="none"/>
    </w:rPr>
  </w:style>
  <w:style w:type="paragraph" w:customStyle="1" w:styleId="xl80">
    <w:name w:val="xl80"/>
    <w:basedOn w:val="Normal"/>
    <w:rsid w:val="0090348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color w:val="000000"/>
      <w:kern w:val="0"/>
      <w:sz w:val="18"/>
      <w:szCs w:val="18"/>
      <w:lang w:eastAsia="hr-HR"/>
      <w14:ligatures w14:val="none"/>
    </w:rPr>
  </w:style>
  <w:style w:type="paragraph" w:customStyle="1" w:styleId="xl81">
    <w:name w:val="xl81"/>
    <w:basedOn w:val="Normal"/>
    <w:rsid w:val="00903489"/>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pPr>
    <w:rPr>
      <w:rFonts w:ascii="Times New Roman" w:eastAsia="Times New Roman" w:hAnsi="Times New Roman" w:cs="Times New Roman"/>
      <w:color w:val="000000"/>
      <w:kern w:val="0"/>
      <w:sz w:val="24"/>
      <w:szCs w:val="24"/>
      <w:lang w:eastAsia="hr-HR"/>
      <w14:ligatures w14:val="none"/>
    </w:rPr>
  </w:style>
  <w:style w:type="paragraph" w:customStyle="1" w:styleId="xl82">
    <w:name w:val="xl82"/>
    <w:basedOn w:val="Normal"/>
    <w:rsid w:val="00903489"/>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line="240" w:lineRule="auto"/>
      <w:jc w:val="right"/>
    </w:pPr>
    <w:rPr>
      <w:rFonts w:ascii="Times New Roman" w:eastAsia="Times New Roman" w:hAnsi="Times New Roman" w:cs="Times New Roman"/>
      <w:color w:val="000000"/>
      <w:kern w:val="0"/>
      <w:sz w:val="24"/>
      <w:szCs w:val="24"/>
      <w:lang w:eastAsia="hr-HR"/>
      <w14:ligatures w14:val="none"/>
    </w:rPr>
  </w:style>
  <w:style w:type="numbering" w:customStyle="1" w:styleId="Bezpopisa2">
    <w:name w:val="Bez popisa2"/>
    <w:next w:val="Bezpopisa"/>
    <w:uiPriority w:val="99"/>
    <w:semiHidden/>
    <w:unhideWhenUsed/>
    <w:rsid w:val="00B01C29"/>
  </w:style>
  <w:style w:type="numbering" w:customStyle="1" w:styleId="Bezpopisa3">
    <w:name w:val="Bez popisa3"/>
    <w:next w:val="Bezpopisa"/>
    <w:uiPriority w:val="99"/>
    <w:semiHidden/>
    <w:unhideWhenUsed/>
    <w:rsid w:val="000C19DE"/>
  </w:style>
  <w:style w:type="numbering" w:customStyle="1" w:styleId="Bezpopisa4">
    <w:name w:val="Bez popisa4"/>
    <w:next w:val="Bezpopisa"/>
    <w:semiHidden/>
    <w:unhideWhenUsed/>
    <w:rsid w:val="00C41768"/>
  </w:style>
  <w:style w:type="paragraph" w:styleId="Zaglavlje">
    <w:name w:val="header"/>
    <w:basedOn w:val="Normal"/>
    <w:link w:val="ZaglavljeChar"/>
    <w:rsid w:val="00C41768"/>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ZaglavljeChar">
    <w:name w:val="Zaglavlje Char"/>
    <w:basedOn w:val="Zadanifontodlomka"/>
    <w:link w:val="Zaglavlje"/>
    <w:rsid w:val="00C41768"/>
    <w:rPr>
      <w:rFonts w:ascii="Times New Roman" w:eastAsia="Times New Roman" w:hAnsi="Times New Roman" w:cs="Times New Roman"/>
      <w:kern w:val="0"/>
      <w:sz w:val="24"/>
      <w:szCs w:val="24"/>
      <w:lang w:eastAsia="hr-HR"/>
      <w14:ligatures w14:val="none"/>
    </w:rPr>
  </w:style>
  <w:style w:type="character" w:styleId="Brojstranice">
    <w:name w:val="page number"/>
    <w:basedOn w:val="Zadanifontodlomka"/>
    <w:rsid w:val="00C41768"/>
  </w:style>
  <w:style w:type="paragraph" w:customStyle="1" w:styleId="Default">
    <w:name w:val="Default"/>
    <w:rsid w:val="00C41768"/>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table" w:styleId="Reetkatablice">
    <w:name w:val="Table Grid"/>
    <w:basedOn w:val="Obinatablica"/>
    <w:uiPriority w:val="59"/>
    <w:rsid w:val="00C4176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C41768"/>
    <w:pPr>
      <w:spacing w:after="120" w:line="240" w:lineRule="auto"/>
    </w:pPr>
    <w:rPr>
      <w:rFonts w:ascii="Times New Roman" w:eastAsia="Times New Roman" w:hAnsi="Times New Roman" w:cs="Times New Roman"/>
      <w:kern w:val="0"/>
      <w:sz w:val="24"/>
      <w:szCs w:val="24"/>
      <w:lang w:eastAsia="hr-HR"/>
      <w14:ligatures w14:val="none"/>
    </w:rPr>
  </w:style>
  <w:style w:type="character" w:customStyle="1" w:styleId="TijelotekstaChar">
    <w:name w:val="Tijelo teksta Char"/>
    <w:basedOn w:val="Zadanifontodlomka"/>
    <w:link w:val="Tijeloteksta"/>
    <w:rsid w:val="00C41768"/>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15085</Words>
  <Characters>85988</Characters>
  <Application>Microsoft Office Word</Application>
  <DocSecurity>0</DocSecurity>
  <Lines>716</Lines>
  <Paragraphs>201</Paragraphs>
  <ScaleCrop>false</ScaleCrop>
  <Company/>
  <LinksUpToDate>false</LinksUpToDate>
  <CharactersWithSpaces>100872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 TADIĆ</dc:creator>
  <cp:keywords/>
  <dc:description/>
  <cp:lastModifiedBy>SILVIJA STOJIĆ</cp:lastModifiedBy>
  <cp:revision>2</cp:revision>
  <cp:lastPrinted>2025-12-17T06:16:00Z</cp:lastPrinted>
  <dcterms:created xsi:type="dcterms:W3CDTF">2025-12-23T11:52:00Z</dcterms:created>
  <dcterms:modified xsi:type="dcterms:W3CDTF">2025-12-23T11:52:00Z</dcterms:modified>
</cp:coreProperties>
</file>