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537C" w14:textId="0E533C5D" w:rsidR="004E240C" w:rsidRPr="00D2779F" w:rsidRDefault="003B7F2D" w:rsidP="003B7F2D">
      <w:pPr>
        <w:ind w:right="481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</w:t>
      </w:r>
      <w:r w:rsidR="00AD3557">
        <w:rPr>
          <w:sz w:val="22"/>
          <w:szCs w:val="22"/>
          <w:lang w:val="hr-HR"/>
        </w:rPr>
        <w:t xml:space="preserve">     </w:t>
      </w:r>
      <w:r w:rsidR="005B0696" w:rsidRPr="00D2779F">
        <w:rPr>
          <w:sz w:val="22"/>
          <w:szCs w:val="22"/>
          <w:lang w:val="hr-HR"/>
        </w:rPr>
        <w:object w:dxaOrig="1828" w:dyaOrig="2263" w14:anchorId="494E1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5pt;height:32.95pt" o:ole="" filled="t">
            <v:imagedata r:id="rId8" o:title=""/>
          </v:shape>
          <o:OLEObject Type="Embed" ProgID="CDraw5" ShapeID="_x0000_i1025" DrawAspect="Content" ObjectID="_1820828520" r:id="rId9"/>
        </w:object>
      </w:r>
    </w:p>
    <w:p w14:paraId="162D8F38" w14:textId="77777777" w:rsidR="004E240C" w:rsidRPr="004B7F67" w:rsidRDefault="004E240C" w:rsidP="0044319D">
      <w:pPr>
        <w:ind w:right="4819"/>
        <w:jc w:val="center"/>
        <w:rPr>
          <w:rFonts w:ascii="Arial" w:hAnsi="Arial"/>
          <w:szCs w:val="24"/>
          <w:lang w:val="hr-HR"/>
        </w:rPr>
      </w:pPr>
      <w:r w:rsidRPr="004B7F67">
        <w:rPr>
          <w:rFonts w:ascii="Arial" w:hAnsi="Arial"/>
          <w:szCs w:val="24"/>
          <w:lang w:val="hr-HR"/>
        </w:rPr>
        <w:t>REPUBLIKA HRVATSKA</w:t>
      </w:r>
    </w:p>
    <w:p w14:paraId="6CDC22A5" w14:textId="77777777" w:rsidR="004E240C" w:rsidRPr="004B7F67" w:rsidRDefault="004E240C" w:rsidP="004B7F67">
      <w:pPr>
        <w:tabs>
          <w:tab w:val="left" w:pos="4111"/>
        </w:tabs>
        <w:ind w:right="4252"/>
        <w:rPr>
          <w:rFonts w:ascii="Arial" w:hAnsi="Arial"/>
          <w:szCs w:val="24"/>
          <w:lang w:val="hr-HR"/>
        </w:rPr>
      </w:pPr>
      <w:r w:rsidRPr="004B7F67">
        <w:rPr>
          <w:rFonts w:ascii="Arial" w:hAnsi="Arial"/>
          <w:szCs w:val="24"/>
          <w:lang w:val="hr-HR"/>
        </w:rPr>
        <w:t xml:space="preserve">OSJEČKO-BARANJSKA </w:t>
      </w:r>
      <w:r w:rsidR="004B7F67">
        <w:rPr>
          <w:rFonts w:ascii="Arial" w:hAnsi="Arial"/>
          <w:szCs w:val="24"/>
          <w:lang w:val="hr-HR"/>
        </w:rPr>
        <w:t>ŽU</w:t>
      </w:r>
      <w:r w:rsidRPr="004B7F67">
        <w:rPr>
          <w:rFonts w:ascii="Arial" w:hAnsi="Arial"/>
          <w:szCs w:val="24"/>
          <w:lang w:val="hr-HR"/>
        </w:rPr>
        <w:t>PANIJA</w:t>
      </w:r>
    </w:p>
    <w:p w14:paraId="542A02D6" w14:textId="77777777" w:rsidR="004E240C" w:rsidRPr="004B7F67" w:rsidRDefault="004E240C" w:rsidP="0044319D">
      <w:pPr>
        <w:ind w:right="4819"/>
        <w:jc w:val="center"/>
        <w:rPr>
          <w:rFonts w:ascii="Arial" w:hAnsi="Arial"/>
          <w:szCs w:val="24"/>
          <w:lang w:val="hr-HR"/>
        </w:rPr>
      </w:pPr>
      <w:r w:rsidRPr="004B7F67">
        <w:rPr>
          <w:rFonts w:ascii="Arial" w:hAnsi="Arial"/>
          <w:szCs w:val="24"/>
          <w:lang w:val="hr-HR"/>
        </w:rPr>
        <w:t>GRAD DONJI MIHOLJAC</w:t>
      </w:r>
    </w:p>
    <w:p w14:paraId="6ABB9EFC" w14:textId="77777777" w:rsidR="00405AC7" w:rsidRDefault="0049021B" w:rsidP="00804204">
      <w:pPr>
        <w:ind w:right="4394"/>
        <w:rPr>
          <w:rFonts w:ascii="Arial" w:hAnsi="Arial"/>
          <w:szCs w:val="24"/>
          <w:lang w:val="hr-HR"/>
        </w:rPr>
      </w:pPr>
      <w:r>
        <w:rPr>
          <w:rFonts w:ascii="Arial" w:hAnsi="Arial"/>
          <w:szCs w:val="24"/>
          <w:lang w:val="hr-HR"/>
        </w:rPr>
        <w:t xml:space="preserve">UPRAVNI ODJEL ZA </w:t>
      </w:r>
      <w:r w:rsidR="00804204">
        <w:rPr>
          <w:rFonts w:ascii="Arial" w:hAnsi="Arial"/>
          <w:szCs w:val="24"/>
          <w:lang w:val="hr-HR"/>
        </w:rPr>
        <w:t>P</w:t>
      </w:r>
      <w:r>
        <w:rPr>
          <w:rFonts w:ascii="Arial" w:hAnsi="Arial"/>
          <w:szCs w:val="24"/>
          <w:lang w:val="hr-HR"/>
        </w:rPr>
        <w:t xml:space="preserve">RORAČUN </w:t>
      </w:r>
      <w:r w:rsidR="00405AC7">
        <w:rPr>
          <w:rFonts w:ascii="Arial" w:hAnsi="Arial"/>
          <w:szCs w:val="24"/>
          <w:lang w:val="hr-HR"/>
        </w:rPr>
        <w:t xml:space="preserve">  </w:t>
      </w:r>
    </w:p>
    <w:p w14:paraId="3ACF222F" w14:textId="77777777" w:rsidR="00B14E41" w:rsidRDefault="00405AC7" w:rsidP="00405AC7">
      <w:pPr>
        <w:ind w:right="4819"/>
        <w:rPr>
          <w:rFonts w:ascii="Arial" w:hAnsi="Arial"/>
          <w:szCs w:val="24"/>
          <w:lang w:val="hr-HR"/>
        </w:rPr>
      </w:pPr>
      <w:r>
        <w:rPr>
          <w:rFonts w:ascii="Arial" w:hAnsi="Arial"/>
          <w:szCs w:val="24"/>
          <w:lang w:val="hr-HR"/>
        </w:rPr>
        <w:t xml:space="preserve">               </w:t>
      </w:r>
      <w:r w:rsidR="0049021B">
        <w:rPr>
          <w:rFonts w:ascii="Arial" w:hAnsi="Arial"/>
          <w:szCs w:val="24"/>
          <w:lang w:val="hr-HR"/>
        </w:rPr>
        <w:t>I FINANCIJE</w:t>
      </w:r>
    </w:p>
    <w:p w14:paraId="375F297C" w14:textId="77777777" w:rsidR="00405AC7" w:rsidRPr="00D2779F" w:rsidRDefault="00405AC7" w:rsidP="0044319D">
      <w:pPr>
        <w:ind w:right="4819"/>
        <w:jc w:val="center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Cs w:val="24"/>
          <w:lang w:val="hr-HR"/>
        </w:rPr>
        <w:t>ODSJEK ZA PRORAČUN</w:t>
      </w:r>
    </w:p>
    <w:p w14:paraId="58C74DAA" w14:textId="77777777" w:rsidR="004E240C" w:rsidRPr="00D2779F" w:rsidRDefault="004E240C">
      <w:pPr>
        <w:jc w:val="both"/>
        <w:rPr>
          <w:rFonts w:ascii="Arial" w:hAnsi="Arial"/>
          <w:sz w:val="22"/>
          <w:szCs w:val="22"/>
          <w:lang w:val="hr-HR"/>
        </w:rPr>
      </w:pPr>
    </w:p>
    <w:p w14:paraId="70FB67DE" w14:textId="1F2862F3" w:rsidR="004E240C" w:rsidRPr="00400CBF" w:rsidRDefault="004E240C">
      <w:pPr>
        <w:jc w:val="both"/>
        <w:rPr>
          <w:rFonts w:ascii="Arial" w:hAnsi="Arial"/>
          <w:szCs w:val="24"/>
          <w:lang w:val="hr-HR"/>
        </w:rPr>
      </w:pPr>
      <w:r w:rsidRPr="00400CBF">
        <w:rPr>
          <w:rFonts w:ascii="Arial" w:hAnsi="Arial"/>
          <w:szCs w:val="24"/>
          <w:lang w:val="hr-HR"/>
        </w:rPr>
        <w:t>K</w:t>
      </w:r>
      <w:r w:rsidR="0044319D" w:rsidRPr="00400CBF">
        <w:rPr>
          <w:rFonts w:ascii="Arial" w:hAnsi="Arial"/>
          <w:szCs w:val="24"/>
          <w:lang w:val="hr-HR"/>
        </w:rPr>
        <w:t>LASA</w:t>
      </w:r>
      <w:r w:rsidRPr="00400CBF">
        <w:rPr>
          <w:rFonts w:ascii="Arial" w:hAnsi="Arial"/>
          <w:szCs w:val="24"/>
          <w:lang w:val="hr-HR"/>
        </w:rPr>
        <w:t xml:space="preserve">: </w:t>
      </w:r>
      <w:r w:rsidR="00D9011E">
        <w:rPr>
          <w:rFonts w:ascii="Arial" w:hAnsi="Arial" w:cs="Arial"/>
          <w:lang w:val="hr-HR"/>
        </w:rPr>
        <w:t>400-05/25-01/3</w:t>
      </w:r>
    </w:p>
    <w:p w14:paraId="77CCAC2D" w14:textId="3DD82192" w:rsidR="004E240C" w:rsidRPr="00400CBF" w:rsidRDefault="00D2779F">
      <w:pPr>
        <w:jc w:val="both"/>
        <w:rPr>
          <w:rFonts w:ascii="Arial" w:hAnsi="Arial"/>
          <w:szCs w:val="24"/>
          <w:lang w:val="hr-HR"/>
        </w:rPr>
      </w:pPr>
      <w:r w:rsidRPr="00400CBF">
        <w:rPr>
          <w:rFonts w:ascii="Arial" w:hAnsi="Arial"/>
          <w:szCs w:val="24"/>
          <w:lang w:val="hr-HR"/>
        </w:rPr>
        <w:t>U</w:t>
      </w:r>
      <w:r w:rsidR="0044319D" w:rsidRPr="00400CBF">
        <w:rPr>
          <w:rFonts w:ascii="Arial" w:hAnsi="Arial"/>
          <w:szCs w:val="24"/>
          <w:lang w:val="hr-HR"/>
        </w:rPr>
        <w:t>RBROJ</w:t>
      </w:r>
      <w:r w:rsidRPr="00400CBF">
        <w:rPr>
          <w:rFonts w:ascii="Arial" w:hAnsi="Arial"/>
          <w:szCs w:val="24"/>
          <w:lang w:val="hr-HR"/>
        </w:rPr>
        <w:t>:</w:t>
      </w:r>
      <w:r w:rsidR="00D9011E">
        <w:rPr>
          <w:rFonts w:ascii="Arial" w:hAnsi="Arial"/>
          <w:szCs w:val="24"/>
          <w:lang w:val="hr-HR"/>
        </w:rPr>
        <w:t xml:space="preserve"> </w:t>
      </w:r>
      <w:r w:rsidR="00D9011E">
        <w:rPr>
          <w:rFonts w:ascii="Arial" w:hAnsi="Arial" w:cs="Arial"/>
          <w:lang w:val="hr-HR"/>
        </w:rPr>
        <w:t>2158-5-05-25-4</w:t>
      </w:r>
    </w:p>
    <w:p w14:paraId="01F6365C" w14:textId="404AD188" w:rsidR="004E240C" w:rsidRPr="00400CBF" w:rsidRDefault="004E240C">
      <w:pPr>
        <w:jc w:val="both"/>
        <w:rPr>
          <w:rFonts w:ascii="Arial" w:hAnsi="Arial"/>
          <w:szCs w:val="24"/>
          <w:lang w:val="hr-HR"/>
        </w:rPr>
      </w:pPr>
      <w:r w:rsidRPr="00400CBF">
        <w:rPr>
          <w:rFonts w:ascii="Arial" w:hAnsi="Arial"/>
          <w:szCs w:val="24"/>
          <w:lang w:val="hr-HR"/>
        </w:rPr>
        <w:t>D</w:t>
      </w:r>
      <w:r w:rsidR="00514076">
        <w:rPr>
          <w:rFonts w:ascii="Arial" w:hAnsi="Arial"/>
          <w:szCs w:val="24"/>
          <w:lang w:val="hr-HR"/>
        </w:rPr>
        <w:t xml:space="preserve">onji </w:t>
      </w:r>
      <w:r w:rsidRPr="00400CBF">
        <w:rPr>
          <w:rFonts w:ascii="Arial" w:hAnsi="Arial"/>
          <w:szCs w:val="24"/>
          <w:lang w:val="hr-HR"/>
        </w:rPr>
        <w:t>Miholjac</w:t>
      </w:r>
      <w:r w:rsidR="00400CBF" w:rsidRPr="00400CBF">
        <w:rPr>
          <w:rFonts w:ascii="Arial" w:hAnsi="Arial"/>
          <w:szCs w:val="24"/>
          <w:lang w:val="hr-HR"/>
        </w:rPr>
        <w:t xml:space="preserve">, </w:t>
      </w:r>
      <w:r w:rsidR="00D9011E">
        <w:rPr>
          <w:rFonts w:ascii="Arial" w:hAnsi="Arial"/>
          <w:szCs w:val="24"/>
          <w:lang w:val="hr-HR"/>
        </w:rPr>
        <w:t>12. rujna 2025.</w:t>
      </w:r>
      <w:r w:rsidR="002905AD">
        <w:rPr>
          <w:rFonts w:ascii="Arial" w:hAnsi="Arial"/>
          <w:szCs w:val="24"/>
          <w:lang w:val="hr-HR"/>
        </w:rPr>
        <w:t xml:space="preserve">                                     </w:t>
      </w:r>
      <w:r w:rsidR="002905AD" w:rsidRPr="002905AD">
        <w:rPr>
          <w:noProof/>
        </w:rPr>
        <w:t xml:space="preserve"> </w:t>
      </w:r>
    </w:p>
    <w:p w14:paraId="7A315493" w14:textId="66A92481" w:rsidR="00865CF6" w:rsidRPr="009F2591" w:rsidRDefault="004F4841">
      <w:pPr>
        <w:jc w:val="both"/>
        <w:rPr>
          <w:rFonts w:ascii="Arial" w:hAnsi="Arial"/>
          <w:color w:val="FF0000"/>
          <w:szCs w:val="24"/>
          <w:lang w:val="hr-HR"/>
        </w:rPr>
      </w:pPr>
      <w:r>
        <w:rPr>
          <w:rFonts w:ascii="Arial" w:hAnsi="Arial"/>
          <w:szCs w:val="24"/>
          <w:lang w:val="hr-HR"/>
        </w:rPr>
        <w:tab/>
      </w:r>
      <w:r>
        <w:rPr>
          <w:rFonts w:ascii="Arial" w:hAnsi="Arial"/>
          <w:szCs w:val="24"/>
          <w:lang w:val="hr-HR"/>
        </w:rPr>
        <w:tab/>
      </w:r>
      <w:r>
        <w:rPr>
          <w:rFonts w:ascii="Arial" w:hAnsi="Arial"/>
          <w:szCs w:val="24"/>
          <w:lang w:val="hr-HR"/>
        </w:rPr>
        <w:tab/>
      </w:r>
      <w:r>
        <w:rPr>
          <w:rFonts w:ascii="Arial" w:hAnsi="Arial"/>
          <w:szCs w:val="24"/>
          <w:lang w:val="hr-HR"/>
        </w:rPr>
        <w:tab/>
      </w:r>
      <w:r>
        <w:rPr>
          <w:rFonts w:ascii="Arial" w:hAnsi="Arial"/>
          <w:szCs w:val="24"/>
          <w:lang w:val="hr-HR"/>
        </w:rPr>
        <w:tab/>
      </w:r>
      <w:r>
        <w:rPr>
          <w:rFonts w:ascii="Arial" w:hAnsi="Arial"/>
          <w:szCs w:val="24"/>
          <w:lang w:val="hr-HR"/>
        </w:rPr>
        <w:tab/>
      </w:r>
    </w:p>
    <w:p w14:paraId="2F9882A6" w14:textId="1C63F8EE" w:rsidR="004B7F67" w:rsidRPr="004B7F67" w:rsidRDefault="00A1047E" w:rsidP="00AD6250">
      <w:pPr>
        <w:ind w:firstLine="3402"/>
        <w:rPr>
          <w:rFonts w:ascii="Arial" w:hAnsi="Arial"/>
          <w:szCs w:val="24"/>
          <w:lang w:val="hr-HR"/>
        </w:rPr>
      </w:pPr>
      <w:r w:rsidRPr="004B7F67">
        <w:rPr>
          <w:rFonts w:ascii="Arial" w:hAnsi="Arial"/>
          <w:szCs w:val="24"/>
          <w:lang w:val="hr-HR"/>
        </w:rPr>
        <w:t xml:space="preserve">                  </w:t>
      </w:r>
      <w:r w:rsidR="00AD6250">
        <w:rPr>
          <w:rFonts w:ascii="Arial" w:hAnsi="Arial"/>
          <w:szCs w:val="24"/>
          <w:lang w:val="hr-HR"/>
        </w:rPr>
        <w:t xml:space="preserve">                 </w:t>
      </w:r>
      <w:r w:rsidR="004B7F67" w:rsidRPr="004B7F67">
        <w:rPr>
          <w:rFonts w:ascii="Arial" w:hAnsi="Arial"/>
          <w:szCs w:val="24"/>
          <w:lang w:val="hr-HR"/>
        </w:rPr>
        <w:t>GRADSKO  VIJEĆE</w:t>
      </w:r>
    </w:p>
    <w:p w14:paraId="08D8E696" w14:textId="77777777" w:rsidR="004B7F67" w:rsidRDefault="004B7F67" w:rsidP="0044319D">
      <w:pPr>
        <w:ind w:firstLine="3402"/>
        <w:rPr>
          <w:rFonts w:ascii="Arial" w:hAnsi="Arial"/>
          <w:szCs w:val="24"/>
          <w:lang w:val="hr-HR"/>
        </w:rPr>
      </w:pPr>
      <w:r w:rsidRPr="004B7F67">
        <w:rPr>
          <w:rFonts w:ascii="Arial" w:hAnsi="Arial"/>
          <w:szCs w:val="24"/>
          <w:lang w:val="hr-HR"/>
        </w:rPr>
        <w:tab/>
      </w:r>
      <w:r w:rsidRPr="004B7F67">
        <w:rPr>
          <w:rFonts w:ascii="Arial" w:hAnsi="Arial"/>
          <w:szCs w:val="24"/>
          <w:lang w:val="hr-HR"/>
        </w:rPr>
        <w:tab/>
        <w:t xml:space="preserve">  </w:t>
      </w:r>
      <w:r w:rsidR="00240192">
        <w:rPr>
          <w:rFonts w:ascii="Arial" w:hAnsi="Arial"/>
          <w:szCs w:val="24"/>
          <w:lang w:val="hr-HR"/>
        </w:rPr>
        <w:t xml:space="preserve">         </w:t>
      </w:r>
      <w:r w:rsidRPr="004B7F67">
        <w:rPr>
          <w:rFonts w:ascii="Arial" w:hAnsi="Arial"/>
          <w:szCs w:val="24"/>
          <w:lang w:val="hr-HR"/>
        </w:rPr>
        <w:t xml:space="preserve">   GRADA DONJEG MIHOLJCA</w:t>
      </w:r>
    </w:p>
    <w:p w14:paraId="0412B886" w14:textId="77777777" w:rsidR="00865CF6" w:rsidRPr="004B7F67" w:rsidRDefault="00865CF6" w:rsidP="0044319D">
      <w:pPr>
        <w:ind w:firstLine="3402"/>
        <w:rPr>
          <w:rFonts w:ascii="Arial" w:hAnsi="Arial"/>
          <w:szCs w:val="24"/>
          <w:lang w:val="hr-HR"/>
        </w:rPr>
      </w:pPr>
    </w:p>
    <w:p w14:paraId="5D3DB0B7" w14:textId="77777777" w:rsidR="0044319D" w:rsidRDefault="0044319D">
      <w:pPr>
        <w:jc w:val="both"/>
        <w:rPr>
          <w:rFonts w:ascii="Arial" w:hAnsi="Arial"/>
          <w:sz w:val="22"/>
          <w:szCs w:val="22"/>
          <w:lang w:val="hr-HR"/>
        </w:rPr>
      </w:pPr>
    </w:p>
    <w:p w14:paraId="22B133A0" w14:textId="77777777" w:rsidR="00865CF6" w:rsidRDefault="00865CF6">
      <w:pPr>
        <w:jc w:val="both"/>
        <w:rPr>
          <w:rFonts w:ascii="Arial" w:hAnsi="Arial"/>
          <w:sz w:val="22"/>
          <w:szCs w:val="22"/>
          <w:lang w:val="hr-HR"/>
        </w:rPr>
      </w:pPr>
    </w:p>
    <w:p w14:paraId="03163E1F" w14:textId="77777777" w:rsidR="00865CF6" w:rsidRPr="00D2779F" w:rsidRDefault="00865CF6">
      <w:pPr>
        <w:jc w:val="both"/>
        <w:rPr>
          <w:rFonts w:ascii="Arial" w:hAnsi="Arial"/>
          <w:sz w:val="22"/>
          <w:szCs w:val="22"/>
          <w:lang w:val="hr-HR"/>
        </w:rPr>
      </w:pPr>
    </w:p>
    <w:p w14:paraId="0759D932" w14:textId="77777777" w:rsidR="004B7F67" w:rsidRPr="005A1E7D" w:rsidRDefault="0044319D" w:rsidP="00D2779F">
      <w:pPr>
        <w:jc w:val="both"/>
        <w:rPr>
          <w:rFonts w:ascii="Arial Black" w:hAnsi="Arial Black"/>
          <w:b/>
          <w:i/>
          <w:sz w:val="36"/>
          <w:szCs w:val="28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 w:rsidR="004B7F67">
        <w:rPr>
          <w:rFonts w:ascii="Arial" w:hAnsi="Arial"/>
          <w:sz w:val="22"/>
          <w:szCs w:val="22"/>
          <w:lang w:val="hr-HR"/>
        </w:rPr>
        <w:t xml:space="preserve">                    </w:t>
      </w:r>
      <w:r w:rsidR="004B7F67" w:rsidRPr="005A1E7D">
        <w:rPr>
          <w:rFonts w:ascii="Arial Black" w:hAnsi="Arial Black"/>
          <w:b/>
          <w:i/>
          <w:sz w:val="36"/>
          <w:szCs w:val="28"/>
          <w:lang w:val="hr-HR"/>
        </w:rPr>
        <w:t>O B R A Z L O Ž E N J E</w:t>
      </w:r>
    </w:p>
    <w:p w14:paraId="1CEE13E8" w14:textId="77777777" w:rsidR="004B7F67" w:rsidRPr="004B7F67" w:rsidRDefault="004B7F67" w:rsidP="00D2779F">
      <w:pPr>
        <w:jc w:val="both"/>
        <w:rPr>
          <w:rFonts w:ascii="Arial" w:hAnsi="Arial"/>
          <w:sz w:val="28"/>
          <w:szCs w:val="28"/>
          <w:lang w:val="hr-HR"/>
        </w:rPr>
      </w:pPr>
    </w:p>
    <w:p w14:paraId="747E735A" w14:textId="77777777" w:rsidR="0044319D" w:rsidRPr="005A1E7D" w:rsidRDefault="004B7F67" w:rsidP="00D2779F">
      <w:pPr>
        <w:jc w:val="both"/>
        <w:rPr>
          <w:rFonts w:ascii="Arial" w:hAnsi="Arial"/>
          <w:sz w:val="28"/>
          <w:szCs w:val="28"/>
          <w:lang w:val="hr-HR"/>
        </w:rPr>
      </w:pPr>
      <w:r w:rsidRPr="005A1E7D">
        <w:rPr>
          <w:rFonts w:ascii="Arial" w:hAnsi="Arial"/>
          <w:sz w:val="28"/>
          <w:szCs w:val="28"/>
          <w:lang w:val="hr-HR"/>
        </w:rPr>
        <w:t xml:space="preserve">     u</w:t>
      </w:r>
      <w:r w:rsidR="0044319D" w:rsidRPr="005A1E7D">
        <w:rPr>
          <w:rFonts w:ascii="Arial" w:hAnsi="Arial"/>
          <w:sz w:val="28"/>
          <w:szCs w:val="28"/>
          <w:lang w:val="hr-HR"/>
        </w:rPr>
        <w:t xml:space="preserve">z </w:t>
      </w:r>
      <w:r w:rsidR="00123710" w:rsidRPr="005A1E7D">
        <w:rPr>
          <w:rFonts w:ascii="Arial" w:hAnsi="Arial"/>
          <w:sz w:val="28"/>
          <w:szCs w:val="28"/>
          <w:lang w:val="hr-HR"/>
        </w:rPr>
        <w:t>polu</w:t>
      </w:r>
      <w:r w:rsidR="0044319D" w:rsidRPr="005A1E7D">
        <w:rPr>
          <w:rFonts w:ascii="Arial" w:hAnsi="Arial"/>
          <w:sz w:val="28"/>
          <w:szCs w:val="28"/>
          <w:lang w:val="hr-HR"/>
        </w:rPr>
        <w:t>godišnj</w:t>
      </w:r>
      <w:r w:rsidR="00E53BE9" w:rsidRPr="005A1E7D">
        <w:rPr>
          <w:rFonts w:ascii="Arial" w:hAnsi="Arial"/>
          <w:sz w:val="28"/>
          <w:szCs w:val="28"/>
          <w:lang w:val="hr-HR"/>
        </w:rPr>
        <w:t xml:space="preserve">i </w:t>
      </w:r>
      <w:r w:rsidR="0049021B" w:rsidRPr="005A1E7D">
        <w:rPr>
          <w:rFonts w:ascii="Arial" w:hAnsi="Arial"/>
          <w:sz w:val="28"/>
          <w:szCs w:val="28"/>
          <w:lang w:val="hr-HR"/>
        </w:rPr>
        <w:t>I</w:t>
      </w:r>
      <w:r w:rsidR="00E53BE9" w:rsidRPr="005A1E7D">
        <w:rPr>
          <w:rFonts w:ascii="Arial" w:hAnsi="Arial"/>
          <w:sz w:val="28"/>
          <w:szCs w:val="28"/>
          <w:lang w:val="hr-HR"/>
        </w:rPr>
        <w:t>zvještaj</w:t>
      </w:r>
      <w:r w:rsidRPr="005A1E7D">
        <w:rPr>
          <w:rFonts w:ascii="Arial" w:hAnsi="Arial"/>
          <w:sz w:val="28"/>
          <w:szCs w:val="28"/>
          <w:lang w:val="hr-HR"/>
        </w:rPr>
        <w:t xml:space="preserve"> </w:t>
      </w:r>
      <w:r w:rsidR="00E53BE9" w:rsidRPr="005A1E7D">
        <w:rPr>
          <w:rFonts w:ascii="Arial" w:hAnsi="Arial"/>
          <w:sz w:val="28"/>
          <w:szCs w:val="28"/>
          <w:lang w:val="hr-HR"/>
        </w:rPr>
        <w:t>o izvršenju</w:t>
      </w:r>
      <w:r w:rsidR="0044319D" w:rsidRPr="005A1E7D">
        <w:rPr>
          <w:rFonts w:ascii="Arial" w:hAnsi="Arial"/>
          <w:sz w:val="28"/>
          <w:szCs w:val="28"/>
          <w:lang w:val="hr-HR"/>
        </w:rPr>
        <w:t xml:space="preserve"> proračuna Grada Donjeg </w:t>
      </w:r>
    </w:p>
    <w:p w14:paraId="321C2A9C" w14:textId="4C680FDD" w:rsidR="0044319D" w:rsidRPr="005A1E7D" w:rsidRDefault="005A1E7D" w:rsidP="00D2779F">
      <w:pPr>
        <w:jc w:val="both"/>
        <w:rPr>
          <w:rFonts w:ascii="Arial" w:hAnsi="Arial"/>
          <w:sz w:val="28"/>
          <w:szCs w:val="28"/>
          <w:lang w:val="hr-HR"/>
        </w:rPr>
      </w:pPr>
      <w:r>
        <w:rPr>
          <w:rFonts w:ascii="Arial" w:hAnsi="Arial"/>
          <w:sz w:val="28"/>
          <w:szCs w:val="28"/>
          <w:lang w:val="hr-HR"/>
        </w:rPr>
        <w:t xml:space="preserve">   </w:t>
      </w:r>
      <w:r w:rsidR="004B7F67" w:rsidRPr="005A1E7D">
        <w:rPr>
          <w:rFonts w:ascii="Arial" w:hAnsi="Arial"/>
          <w:sz w:val="28"/>
          <w:szCs w:val="28"/>
          <w:lang w:val="hr-HR"/>
        </w:rPr>
        <w:t>Mi</w:t>
      </w:r>
      <w:r w:rsidR="0044319D" w:rsidRPr="005A1E7D">
        <w:rPr>
          <w:rFonts w:ascii="Arial" w:hAnsi="Arial"/>
          <w:sz w:val="28"/>
          <w:szCs w:val="28"/>
          <w:lang w:val="hr-HR"/>
        </w:rPr>
        <w:t xml:space="preserve">holjca za </w:t>
      </w:r>
      <w:r w:rsidR="004B7F67" w:rsidRPr="005A1E7D">
        <w:rPr>
          <w:rFonts w:ascii="Arial" w:hAnsi="Arial"/>
          <w:sz w:val="28"/>
          <w:szCs w:val="28"/>
          <w:lang w:val="hr-HR"/>
        </w:rPr>
        <w:t>razdoblje od 01. siječnja do 3</w:t>
      </w:r>
      <w:r w:rsidR="00123710" w:rsidRPr="005A1E7D">
        <w:rPr>
          <w:rFonts w:ascii="Arial" w:hAnsi="Arial"/>
          <w:sz w:val="28"/>
          <w:szCs w:val="28"/>
          <w:lang w:val="hr-HR"/>
        </w:rPr>
        <w:t>0</w:t>
      </w:r>
      <w:r w:rsidR="004B7F67" w:rsidRPr="005A1E7D">
        <w:rPr>
          <w:rFonts w:ascii="Arial" w:hAnsi="Arial"/>
          <w:sz w:val="28"/>
          <w:szCs w:val="28"/>
          <w:lang w:val="hr-HR"/>
        </w:rPr>
        <w:t xml:space="preserve">. </w:t>
      </w:r>
      <w:r w:rsidR="00123710" w:rsidRPr="005A1E7D">
        <w:rPr>
          <w:rFonts w:ascii="Arial" w:hAnsi="Arial"/>
          <w:sz w:val="28"/>
          <w:szCs w:val="28"/>
          <w:lang w:val="hr-HR"/>
        </w:rPr>
        <w:t xml:space="preserve">lipnja </w:t>
      </w:r>
      <w:r w:rsidR="0044319D" w:rsidRPr="005A1E7D">
        <w:rPr>
          <w:rFonts w:ascii="Arial" w:hAnsi="Arial"/>
          <w:sz w:val="28"/>
          <w:szCs w:val="28"/>
          <w:lang w:val="hr-HR"/>
        </w:rPr>
        <w:t>20</w:t>
      </w:r>
      <w:r w:rsidR="00C839C7">
        <w:rPr>
          <w:rFonts w:ascii="Arial" w:hAnsi="Arial"/>
          <w:sz w:val="28"/>
          <w:szCs w:val="28"/>
          <w:lang w:val="hr-HR"/>
        </w:rPr>
        <w:t>2</w:t>
      </w:r>
      <w:r w:rsidR="00AD6250">
        <w:rPr>
          <w:rFonts w:ascii="Arial" w:hAnsi="Arial"/>
          <w:sz w:val="28"/>
          <w:szCs w:val="28"/>
          <w:lang w:val="hr-HR"/>
        </w:rPr>
        <w:t>5</w:t>
      </w:r>
      <w:r w:rsidR="0044319D" w:rsidRPr="005A1E7D">
        <w:rPr>
          <w:rFonts w:ascii="Arial" w:hAnsi="Arial"/>
          <w:sz w:val="28"/>
          <w:szCs w:val="28"/>
          <w:lang w:val="hr-HR"/>
        </w:rPr>
        <w:t>. godin</w:t>
      </w:r>
      <w:r w:rsidR="004B7F67" w:rsidRPr="005A1E7D">
        <w:rPr>
          <w:rFonts w:ascii="Arial" w:hAnsi="Arial"/>
          <w:sz w:val="28"/>
          <w:szCs w:val="28"/>
          <w:lang w:val="hr-HR"/>
        </w:rPr>
        <w:t>e</w:t>
      </w:r>
    </w:p>
    <w:p w14:paraId="7D9B7BE8" w14:textId="77777777" w:rsidR="0044319D" w:rsidRDefault="0044319D" w:rsidP="00D2779F">
      <w:pPr>
        <w:jc w:val="both"/>
        <w:rPr>
          <w:rFonts w:ascii="Arial" w:hAnsi="Arial"/>
          <w:sz w:val="22"/>
          <w:szCs w:val="22"/>
          <w:lang w:val="hr-HR"/>
        </w:rPr>
      </w:pPr>
    </w:p>
    <w:p w14:paraId="50ED804C" w14:textId="77777777" w:rsidR="004E414B" w:rsidRDefault="004E414B" w:rsidP="00D2779F">
      <w:pPr>
        <w:jc w:val="both"/>
        <w:rPr>
          <w:rFonts w:ascii="Arial" w:hAnsi="Arial"/>
          <w:sz w:val="22"/>
          <w:szCs w:val="22"/>
          <w:lang w:val="hr-HR"/>
        </w:rPr>
      </w:pPr>
    </w:p>
    <w:p w14:paraId="425FB7C1" w14:textId="77777777" w:rsidR="00C20AF2" w:rsidRDefault="00C20AF2" w:rsidP="00D2779F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 w:cs="Arial"/>
          <w:b/>
          <w:szCs w:val="24"/>
          <w:lang w:val="hr-HR"/>
        </w:rPr>
        <w:t>1. Uvodni dio</w:t>
      </w:r>
    </w:p>
    <w:p w14:paraId="6D194047" w14:textId="77777777" w:rsidR="00C20AF2" w:rsidRDefault="00C20AF2" w:rsidP="00D2779F">
      <w:pPr>
        <w:jc w:val="both"/>
        <w:rPr>
          <w:rFonts w:ascii="Arial" w:hAnsi="Arial"/>
          <w:sz w:val="22"/>
          <w:szCs w:val="22"/>
          <w:lang w:val="hr-HR"/>
        </w:rPr>
      </w:pPr>
    </w:p>
    <w:p w14:paraId="7CC3C379" w14:textId="571E6CCF" w:rsidR="008D69CF" w:rsidRDefault="008D69CF" w:rsidP="00D2779F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 w:rsidRPr="00117D17">
        <w:rPr>
          <w:rFonts w:ascii="Arial" w:hAnsi="Arial" w:cs="Arial"/>
          <w:szCs w:val="24"/>
          <w:lang w:val="hr-HR"/>
        </w:rPr>
        <w:t xml:space="preserve">Proračun i proračunski korisnici moraju </w:t>
      </w:r>
      <w:r w:rsidR="00BE6D27">
        <w:rPr>
          <w:rFonts w:ascii="Arial" w:hAnsi="Arial" w:cs="Arial"/>
          <w:szCs w:val="24"/>
          <w:lang w:val="hr-HR"/>
        </w:rPr>
        <w:t xml:space="preserve">podnositi polugodišnji i godišnji izvještaj o izvršenju proračuna odnosno financijskog plana koji su </w:t>
      </w:r>
      <w:r w:rsidRPr="00117D17">
        <w:rPr>
          <w:rFonts w:ascii="Arial" w:hAnsi="Arial" w:cs="Arial"/>
          <w:szCs w:val="24"/>
          <w:lang w:val="hr-HR"/>
        </w:rPr>
        <w:t>određeni  Zakonom o proračunu</w:t>
      </w:r>
      <w:r w:rsidR="00DC627C">
        <w:rPr>
          <w:rFonts w:ascii="Arial" w:hAnsi="Arial" w:cs="Arial"/>
          <w:szCs w:val="24"/>
          <w:lang w:val="hr-HR"/>
        </w:rPr>
        <w:t xml:space="preserve">, člancima </w:t>
      </w:r>
      <w:r w:rsidR="00BE6D27">
        <w:rPr>
          <w:rFonts w:ascii="Arial" w:hAnsi="Arial" w:cs="Arial"/>
          <w:szCs w:val="24"/>
          <w:lang w:val="hr-HR"/>
        </w:rPr>
        <w:t>76</w:t>
      </w:r>
      <w:r w:rsidR="009F2591">
        <w:rPr>
          <w:rFonts w:ascii="Arial" w:hAnsi="Arial" w:cs="Arial"/>
          <w:szCs w:val="24"/>
          <w:lang w:val="hr-HR"/>
        </w:rPr>
        <w:t>.</w:t>
      </w:r>
      <w:r w:rsidR="00DC627C">
        <w:rPr>
          <w:rFonts w:ascii="Arial" w:hAnsi="Arial" w:cs="Arial"/>
          <w:szCs w:val="24"/>
          <w:lang w:val="hr-HR"/>
        </w:rPr>
        <w:t>-</w:t>
      </w:r>
      <w:r w:rsidR="00BE6D27">
        <w:rPr>
          <w:rFonts w:ascii="Arial" w:hAnsi="Arial" w:cs="Arial"/>
          <w:szCs w:val="24"/>
          <w:lang w:val="hr-HR"/>
        </w:rPr>
        <w:t>90</w:t>
      </w:r>
      <w:r w:rsidR="00DC627C">
        <w:rPr>
          <w:rFonts w:ascii="Arial" w:hAnsi="Arial" w:cs="Arial"/>
          <w:szCs w:val="24"/>
          <w:lang w:val="hr-HR"/>
        </w:rPr>
        <w:t>.</w:t>
      </w:r>
      <w:r w:rsidRPr="00117D17">
        <w:rPr>
          <w:rFonts w:ascii="Arial" w:hAnsi="Arial" w:cs="Arial"/>
          <w:szCs w:val="24"/>
          <w:lang w:val="hr-HR"/>
        </w:rPr>
        <w:t xml:space="preserve"> („Narodne novine“ broj </w:t>
      </w:r>
      <w:r w:rsidR="00BE6D27">
        <w:rPr>
          <w:rFonts w:ascii="Arial" w:hAnsi="Arial" w:cs="Arial"/>
          <w:szCs w:val="24"/>
          <w:lang w:val="hr-HR"/>
        </w:rPr>
        <w:t>144</w:t>
      </w:r>
      <w:r>
        <w:rPr>
          <w:rFonts w:ascii="Arial" w:hAnsi="Arial" w:cs="Arial"/>
          <w:szCs w:val="24"/>
          <w:lang w:val="hr-HR"/>
        </w:rPr>
        <w:t>/</w:t>
      </w:r>
      <w:r w:rsidR="00BE6D27">
        <w:rPr>
          <w:rFonts w:ascii="Arial" w:hAnsi="Arial" w:cs="Arial"/>
          <w:szCs w:val="24"/>
          <w:lang w:val="hr-HR"/>
        </w:rPr>
        <w:t>21</w:t>
      </w:r>
      <w:r w:rsidRPr="00117D17">
        <w:rPr>
          <w:rFonts w:ascii="Arial" w:hAnsi="Arial" w:cs="Arial"/>
          <w:szCs w:val="24"/>
          <w:lang w:val="hr-HR"/>
        </w:rPr>
        <w:t>),</w:t>
      </w:r>
      <w:r w:rsidR="00F37E59">
        <w:rPr>
          <w:rFonts w:ascii="Arial" w:hAnsi="Arial" w:cs="Arial"/>
          <w:szCs w:val="24"/>
          <w:lang w:val="hr-HR"/>
        </w:rPr>
        <w:t xml:space="preserve"> Pravilnik o proračunskim klasifikacijama („Narodne novine“ broj </w:t>
      </w:r>
      <w:r w:rsidR="00BE1B91">
        <w:rPr>
          <w:rFonts w:ascii="Arial" w:hAnsi="Arial" w:cs="Arial"/>
          <w:szCs w:val="24"/>
          <w:lang w:val="hr-HR"/>
        </w:rPr>
        <w:t>4</w:t>
      </w:r>
      <w:r w:rsidR="00F37E59">
        <w:rPr>
          <w:rFonts w:ascii="Arial" w:hAnsi="Arial" w:cs="Arial"/>
          <w:szCs w:val="24"/>
          <w:lang w:val="hr-HR"/>
        </w:rPr>
        <w:t>/2</w:t>
      </w:r>
      <w:r w:rsidR="00BE1B91">
        <w:rPr>
          <w:rFonts w:ascii="Arial" w:hAnsi="Arial" w:cs="Arial"/>
          <w:szCs w:val="24"/>
          <w:lang w:val="hr-HR"/>
        </w:rPr>
        <w:t>4</w:t>
      </w:r>
      <w:r w:rsidR="00F37E59">
        <w:rPr>
          <w:rFonts w:ascii="Arial" w:hAnsi="Arial" w:cs="Arial"/>
          <w:szCs w:val="24"/>
          <w:lang w:val="hr-HR"/>
        </w:rPr>
        <w:t>), Pravilnik o proračunskom računovodstvu i računskom  planu</w:t>
      </w:r>
      <w:r w:rsidRPr="00117D17">
        <w:rPr>
          <w:rFonts w:ascii="Arial" w:hAnsi="Arial" w:cs="Arial"/>
          <w:szCs w:val="24"/>
          <w:lang w:val="hr-HR"/>
        </w:rPr>
        <w:t xml:space="preserve"> („Narodne novine“ broj </w:t>
      </w:r>
      <w:r w:rsidR="00BE1B91">
        <w:rPr>
          <w:rFonts w:ascii="Arial" w:hAnsi="Arial" w:cs="Arial"/>
          <w:szCs w:val="24"/>
          <w:lang w:val="hr-HR"/>
        </w:rPr>
        <w:t>158/23</w:t>
      </w:r>
      <w:r w:rsidRPr="00117D17">
        <w:rPr>
          <w:rFonts w:ascii="Arial" w:hAnsi="Arial" w:cs="Arial"/>
          <w:szCs w:val="24"/>
          <w:lang w:val="hr-HR"/>
        </w:rPr>
        <w:t>), Pravilnikom o polugodišnjem i godišnjem izvješ</w:t>
      </w:r>
      <w:r w:rsidR="00630F4E">
        <w:rPr>
          <w:rFonts w:ascii="Arial" w:hAnsi="Arial" w:cs="Arial"/>
          <w:szCs w:val="24"/>
          <w:lang w:val="hr-HR"/>
        </w:rPr>
        <w:t>ć</w:t>
      </w:r>
      <w:r w:rsidRPr="00117D17">
        <w:rPr>
          <w:rFonts w:ascii="Arial" w:hAnsi="Arial" w:cs="Arial"/>
          <w:szCs w:val="24"/>
          <w:lang w:val="hr-HR"/>
        </w:rPr>
        <w:t>u o izvršenju proračuna</w:t>
      </w:r>
      <w:r w:rsidR="00630F4E">
        <w:rPr>
          <w:rFonts w:ascii="Arial" w:hAnsi="Arial" w:cs="Arial"/>
          <w:szCs w:val="24"/>
          <w:lang w:val="hr-HR"/>
        </w:rPr>
        <w:t xml:space="preserve"> i financijskog plana</w:t>
      </w:r>
      <w:r w:rsidRPr="00117D17">
        <w:rPr>
          <w:rFonts w:ascii="Arial" w:hAnsi="Arial" w:cs="Arial"/>
          <w:szCs w:val="24"/>
          <w:lang w:val="hr-HR"/>
        </w:rPr>
        <w:t xml:space="preserve"> („Narodne novine“ broj </w:t>
      </w:r>
      <w:r w:rsidR="00630F4E">
        <w:rPr>
          <w:rFonts w:ascii="Arial" w:hAnsi="Arial" w:cs="Arial"/>
          <w:szCs w:val="24"/>
          <w:lang w:val="hr-HR"/>
        </w:rPr>
        <w:t>85/23</w:t>
      </w:r>
      <w:r w:rsidRPr="00117D17">
        <w:rPr>
          <w:rFonts w:ascii="Arial" w:hAnsi="Arial" w:cs="Arial"/>
          <w:szCs w:val="24"/>
          <w:lang w:val="hr-HR"/>
        </w:rPr>
        <w:t>)</w:t>
      </w:r>
      <w:r w:rsidR="00F37E59">
        <w:rPr>
          <w:rFonts w:ascii="Arial" w:hAnsi="Arial" w:cs="Arial"/>
          <w:szCs w:val="24"/>
          <w:lang w:val="hr-HR"/>
        </w:rPr>
        <w:t xml:space="preserve"> te </w:t>
      </w:r>
      <w:r w:rsidR="00BE6D27">
        <w:rPr>
          <w:rFonts w:ascii="Arial" w:hAnsi="Arial" w:cs="Arial"/>
          <w:szCs w:val="24"/>
          <w:lang w:val="hr-HR"/>
        </w:rPr>
        <w:t>Okružnicom</w:t>
      </w:r>
      <w:r w:rsidR="001614A7">
        <w:rPr>
          <w:rFonts w:ascii="Arial" w:hAnsi="Arial" w:cs="Arial"/>
          <w:szCs w:val="24"/>
          <w:lang w:val="hr-HR"/>
        </w:rPr>
        <w:t xml:space="preserve"> </w:t>
      </w:r>
      <w:r w:rsidR="00F37E59">
        <w:rPr>
          <w:rFonts w:ascii="Arial" w:hAnsi="Arial" w:cs="Arial"/>
          <w:szCs w:val="24"/>
          <w:lang w:val="hr-HR"/>
        </w:rPr>
        <w:t>ministarstva financija</w:t>
      </w:r>
      <w:r w:rsidRPr="00117D17">
        <w:rPr>
          <w:rFonts w:ascii="Arial" w:hAnsi="Arial" w:cs="Arial"/>
          <w:szCs w:val="24"/>
          <w:lang w:val="hr-HR"/>
        </w:rPr>
        <w:t>.</w:t>
      </w:r>
    </w:p>
    <w:p w14:paraId="7D2EF782" w14:textId="77777777" w:rsidR="008D69CF" w:rsidRDefault="00057AD8" w:rsidP="00D2779F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</w:t>
      </w:r>
    </w:p>
    <w:p w14:paraId="0DDA2E7D" w14:textId="7182B497" w:rsidR="007402EE" w:rsidRDefault="00E3017C" w:rsidP="004431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7402EE">
        <w:rPr>
          <w:rFonts w:ascii="Arial" w:hAnsi="Arial" w:cs="Arial"/>
          <w:szCs w:val="24"/>
          <w:lang w:val="hr-HR"/>
        </w:rPr>
        <w:t>Ako JLP</w:t>
      </w:r>
      <w:r w:rsidR="00B01EB8">
        <w:rPr>
          <w:rFonts w:ascii="Arial" w:hAnsi="Arial" w:cs="Arial"/>
          <w:szCs w:val="24"/>
          <w:lang w:val="hr-HR"/>
        </w:rPr>
        <w:t>(R)</w:t>
      </w:r>
      <w:r w:rsidR="007402EE">
        <w:rPr>
          <w:rFonts w:ascii="Arial" w:hAnsi="Arial" w:cs="Arial"/>
          <w:szCs w:val="24"/>
          <w:lang w:val="hr-HR"/>
        </w:rPr>
        <w:t xml:space="preserve">S u </w:t>
      </w:r>
      <w:r w:rsidR="009C09DD">
        <w:rPr>
          <w:rFonts w:ascii="Arial" w:hAnsi="Arial" w:cs="Arial"/>
          <w:szCs w:val="24"/>
          <w:lang w:val="hr-HR"/>
        </w:rPr>
        <w:t>O</w:t>
      </w:r>
      <w:r w:rsidR="007402EE">
        <w:rPr>
          <w:rFonts w:ascii="Arial" w:hAnsi="Arial" w:cs="Arial"/>
          <w:szCs w:val="24"/>
          <w:lang w:val="hr-HR"/>
        </w:rPr>
        <w:t>dlu</w:t>
      </w:r>
      <w:r w:rsidR="009C09DD">
        <w:rPr>
          <w:rFonts w:ascii="Arial" w:hAnsi="Arial" w:cs="Arial"/>
          <w:szCs w:val="24"/>
          <w:lang w:val="hr-HR"/>
        </w:rPr>
        <w:t>ci</w:t>
      </w:r>
      <w:r w:rsidR="007402EE">
        <w:rPr>
          <w:rFonts w:ascii="Arial" w:hAnsi="Arial" w:cs="Arial"/>
          <w:szCs w:val="24"/>
          <w:lang w:val="hr-HR"/>
        </w:rPr>
        <w:t xml:space="preserve"> o izvršavanju proračuna propiš</w:t>
      </w:r>
      <w:r w:rsidR="009C09DD">
        <w:rPr>
          <w:rFonts w:ascii="Arial" w:hAnsi="Arial" w:cs="Arial"/>
          <w:szCs w:val="24"/>
          <w:lang w:val="hr-HR"/>
        </w:rPr>
        <w:t>e</w:t>
      </w:r>
      <w:r w:rsidR="007402EE">
        <w:rPr>
          <w:rFonts w:ascii="Arial" w:hAnsi="Arial" w:cs="Arial"/>
          <w:szCs w:val="24"/>
          <w:lang w:val="hr-HR"/>
        </w:rPr>
        <w:t xml:space="preserve"> izuzeće od obveze uplate</w:t>
      </w:r>
      <w:r w:rsidR="001614A7">
        <w:rPr>
          <w:rFonts w:ascii="Arial" w:hAnsi="Arial" w:cs="Arial"/>
          <w:szCs w:val="24"/>
          <w:lang w:val="hr-HR"/>
        </w:rPr>
        <w:t xml:space="preserve"> </w:t>
      </w:r>
      <w:r w:rsidR="007402EE">
        <w:rPr>
          <w:rFonts w:ascii="Arial" w:hAnsi="Arial" w:cs="Arial"/>
          <w:szCs w:val="24"/>
          <w:lang w:val="hr-HR"/>
        </w:rPr>
        <w:t xml:space="preserve">vlastitih i namjenskih prihoda i primitaka </w:t>
      </w:r>
      <w:r w:rsidR="009C09DD">
        <w:rPr>
          <w:rFonts w:ascii="Arial" w:hAnsi="Arial" w:cs="Arial"/>
          <w:szCs w:val="24"/>
          <w:lang w:val="hr-HR"/>
        </w:rPr>
        <w:t xml:space="preserve">proračunskih </w:t>
      </w:r>
      <w:r w:rsidR="007402EE">
        <w:rPr>
          <w:rFonts w:ascii="Arial" w:hAnsi="Arial" w:cs="Arial"/>
          <w:szCs w:val="24"/>
          <w:lang w:val="hr-HR"/>
        </w:rPr>
        <w:t xml:space="preserve">korisnika u proračun, </w:t>
      </w:r>
      <w:r w:rsidR="009C09DD">
        <w:rPr>
          <w:rFonts w:ascii="Arial" w:hAnsi="Arial" w:cs="Arial"/>
          <w:szCs w:val="24"/>
          <w:lang w:val="hr-HR"/>
        </w:rPr>
        <w:t xml:space="preserve">to ne znači da se ne </w:t>
      </w:r>
      <w:r w:rsidR="007402EE">
        <w:rPr>
          <w:rFonts w:ascii="Arial" w:hAnsi="Arial" w:cs="Arial"/>
          <w:szCs w:val="24"/>
          <w:lang w:val="hr-HR"/>
        </w:rPr>
        <w:t>mora osigurati izvještajno praćenje ostvarivanja vlastitih i namjenskih prihoda i primitaka, kao i njihova trošenja.</w:t>
      </w:r>
    </w:p>
    <w:p w14:paraId="694586B3" w14:textId="4CB59FCE" w:rsidR="00E3017C" w:rsidRPr="00117D17" w:rsidRDefault="00EB71E5" w:rsidP="004431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7402EE">
        <w:rPr>
          <w:rFonts w:ascii="Arial" w:hAnsi="Arial" w:cs="Arial"/>
          <w:szCs w:val="24"/>
          <w:lang w:val="hr-HR"/>
        </w:rPr>
        <w:t>Prvi podaci prikupljeni na ovakav način bi</w:t>
      </w:r>
      <w:r>
        <w:rPr>
          <w:rFonts w:ascii="Arial" w:hAnsi="Arial" w:cs="Arial"/>
          <w:szCs w:val="24"/>
          <w:lang w:val="hr-HR"/>
        </w:rPr>
        <w:t>l</w:t>
      </w:r>
      <w:r w:rsidR="007402EE">
        <w:rPr>
          <w:rFonts w:ascii="Arial" w:hAnsi="Arial" w:cs="Arial"/>
          <w:szCs w:val="24"/>
          <w:lang w:val="hr-HR"/>
        </w:rPr>
        <w:t>i</w:t>
      </w:r>
      <w:r>
        <w:rPr>
          <w:rFonts w:ascii="Arial" w:hAnsi="Arial" w:cs="Arial"/>
          <w:szCs w:val="24"/>
          <w:lang w:val="hr-HR"/>
        </w:rPr>
        <w:t xml:space="preserve"> su</w:t>
      </w:r>
      <w:r w:rsidR="007402EE">
        <w:rPr>
          <w:rFonts w:ascii="Arial" w:hAnsi="Arial" w:cs="Arial"/>
          <w:szCs w:val="24"/>
          <w:lang w:val="hr-HR"/>
        </w:rPr>
        <w:t xml:space="preserve"> uključeni u polugodišnji izvještaj o izvršenju proračuna JLP</w:t>
      </w:r>
      <w:r w:rsidR="00CC6BF4">
        <w:rPr>
          <w:rFonts w:ascii="Arial" w:hAnsi="Arial" w:cs="Arial"/>
          <w:szCs w:val="24"/>
          <w:lang w:val="hr-HR"/>
        </w:rPr>
        <w:t>(R)</w:t>
      </w:r>
      <w:r w:rsidR="007402EE">
        <w:rPr>
          <w:rFonts w:ascii="Arial" w:hAnsi="Arial" w:cs="Arial"/>
          <w:szCs w:val="24"/>
          <w:lang w:val="hr-HR"/>
        </w:rPr>
        <w:t>S za 2016. godinu.</w:t>
      </w:r>
    </w:p>
    <w:p w14:paraId="2B4D7026" w14:textId="77777777" w:rsidR="00E3017C" w:rsidRPr="00117D17" w:rsidRDefault="00A7162D" w:rsidP="0044319D">
      <w:pPr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ab/>
      </w:r>
    </w:p>
    <w:p w14:paraId="54D42397" w14:textId="33B79C81" w:rsidR="0044319D" w:rsidRPr="00117D17" w:rsidRDefault="0044319D" w:rsidP="0044319D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>Za</w:t>
      </w:r>
      <w:r w:rsidR="00A7162D" w:rsidRPr="00117D17">
        <w:rPr>
          <w:rFonts w:ascii="Arial" w:hAnsi="Arial" w:cs="Arial"/>
          <w:szCs w:val="24"/>
          <w:lang w:val="hr-HR"/>
        </w:rPr>
        <w:t>kon</w:t>
      </w:r>
      <w:r w:rsidR="006D605E">
        <w:rPr>
          <w:rFonts w:ascii="Arial" w:hAnsi="Arial" w:cs="Arial"/>
          <w:szCs w:val="24"/>
          <w:lang w:val="hr-HR"/>
        </w:rPr>
        <w:t>om</w:t>
      </w:r>
      <w:r w:rsidR="00A7162D" w:rsidRPr="00117D17">
        <w:rPr>
          <w:rFonts w:ascii="Arial" w:hAnsi="Arial" w:cs="Arial"/>
          <w:szCs w:val="24"/>
          <w:lang w:val="hr-HR"/>
        </w:rPr>
        <w:t xml:space="preserve"> o proračunu</w:t>
      </w:r>
      <w:r w:rsidR="009F2591">
        <w:rPr>
          <w:rFonts w:ascii="Arial" w:hAnsi="Arial" w:cs="Arial"/>
          <w:szCs w:val="24"/>
          <w:lang w:val="hr-HR"/>
        </w:rPr>
        <w:t xml:space="preserve"> </w:t>
      </w:r>
      <w:r w:rsidR="003962C3">
        <w:rPr>
          <w:rFonts w:ascii="Arial" w:hAnsi="Arial" w:cs="Arial"/>
          <w:szCs w:val="24"/>
          <w:lang w:val="hr-HR"/>
        </w:rPr>
        <w:t>te Pravilnik</w:t>
      </w:r>
      <w:r w:rsidR="006D605E">
        <w:rPr>
          <w:rFonts w:ascii="Arial" w:hAnsi="Arial" w:cs="Arial"/>
          <w:szCs w:val="24"/>
          <w:lang w:val="hr-HR"/>
        </w:rPr>
        <w:t>om</w:t>
      </w:r>
      <w:r w:rsidR="003962C3">
        <w:rPr>
          <w:rFonts w:ascii="Arial" w:hAnsi="Arial" w:cs="Arial"/>
          <w:szCs w:val="24"/>
          <w:lang w:val="hr-HR"/>
        </w:rPr>
        <w:t xml:space="preserve"> o polugodišnjem i godišnjem izvještaju o izvršenju proračuna</w:t>
      </w:r>
      <w:r w:rsidR="00A7162D" w:rsidRPr="00117D17">
        <w:rPr>
          <w:rFonts w:ascii="Arial" w:hAnsi="Arial" w:cs="Arial"/>
          <w:szCs w:val="24"/>
          <w:lang w:val="hr-HR"/>
        </w:rPr>
        <w:t>,</w:t>
      </w:r>
      <w:r w:rsidRPr="00117D17">
        <w:rPr>
          <w:rFonts w:ascii="Arial" w:hAnsi="Arial" w:cs="Arial"/>
          <w:szCs w:val="24"/>
          <w:lang w:val="hr-HR"/>
        </w:rPr>
        <w:t xml:space="preserve"> Ministarstvo financija, odnosno upravno tijelo za financije, izrađuje </w:t>
      </w:r>
      <w:r w:rsidR="003962C3">
        <w:rPr>
          <w:rFonts w:ascii="Arial" w:hAnsi="Arial" w:cs="Arial"/>
          <w:szCs w:val="24"/>
          <w:lang w:val="hr-HR"/>
        </w:rPr>
        <w:t>polu</w:t>
      </w:r>
      <w:r w:rsidRPr="00117D17">
        <w:rPr>
          <w:rFonts w:ascii="Arial" w:hAnsi="Arial" w:cs="Arial"/>
          <w:szCs w:val="24"/>
          <w:lang w:val="hr-HR"/>
        </w:rPr>
        <w:t xml:space="preserve">godišnji izvještaj o izvršenju proračuna i dostavlja ga Vladi, odnosno načelniku, gradonačelniku, županu, do </w:t>
      </w:r>
      <w:r w:rsidR="00BE6D27">
        <w:rPr>
          <w:rFonts w:ascii="Arial" w:hAnsi="Arial" w:cs="Arial"/>
          <w:szCs w:val="24"/>
          <w:lang w:val="hr-HR"/>
        </w:rPr>
        <w:t>1</w:t>
      </w:r>
      <w:r w:rsidR="00123710">
        <w:rPr>
          <w:rFonts w:ascii="Arial" w:hAnsi="Arial" w:cs="Arial"/>
          <w:szCs w:val="24"/>
          <w:lang w:val="hr-HR"/>
        </w:rPr>
        <w:t>5</w:t>
      </w:r>
      <w:r w:rsidRPr="00117D17">
        <w:rPr>
          <w:rFonts w:ascii="Arial" w:hAnsi="Arial" w:cs="Arial"/>
          <w:szCs w:val="24"/>
          <w:lang w:val="hr-HR"/>
        </w:rPr>
        <w:t xml:space="preserve">. </w:t>
      </w:r>
      <w:r w:rsidR="00123710">
        <w:rPr>
          <w:rFonts w:ascii="Arial" w:hAnsi="Arial" w:cs="Arial"/>
          <w:szCs w:val="24"/>
          <w:lang w:val="hr-HR"/>
        </w:rPr>
        <w:t>rujna</w:t>
      </w:r>
      <w:r w:rsidRPr="00117D17">
        <w:rPr>
          <w:rFonts w:ascii="Arial" w:hAnsi="Arial" w:cs="Arial"/>
          <w:szCs w:val="24"/>
          <w:lang w:val="hr-HR"/>
        </w:rPr>
        <w:t xml:space="preserve"> tekuće </w:t>
      </w:r>
      <w:r w:rsidR="00123710">
        <w:rPr>
          <w:rFonts w:ascii="Arial" w:hAnsi="Arial" w:cs="Arial"/>
          <w:szCs w:val="24"/>
          <w:lang w:val="hr-HR"/>
        </w:rPr>
        <w:t xml:space="preserve">proračunske </w:t>
      </w:r>
      <w:r w:rsidRPr="00117D17">
        <w:rPr>
          <w:rFonts w:ascii="Arial" w:hAnsi="Arial" w:cs="Arial"/>
          <w:szCs w:val="24"/>
          <w:lang w:val="hr-HR"/>
        </w:rPr>
        <w:t>godine.</w:t>
      </w:r>
    </w:p>
    <w:p w14:paraId="69664420" w14:textId="10BB8B17" w:rsidR="00AB0B8E" w:rsidRPr="00117D17" w:rsidRDefault="0044319D" w:rsidP="00C5512C">
      <w:pPr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ab/>
        <w:t xml:space="preserve">Vlada, odnosno načelnik, gradonačelnik, župan, podnosi Saboru, odnosno predstavničkom tijelu, na donošenje </w:t>
      </w:r>
      <w:r w:rsidR="00123710">
        <w:rPr>
          <w:rFonts w:ascii="Arial" w:hAnsi="Arial" w:cs="Arial"/>
          <w:szCs w:val="24"/>
          <w:lang w:val="hr-HR"/>
        </w:rPr>
        <w:t>polu</w:t>
      </w:r>
      <w:r w:rsidR="003D1E25" w:rsidRPr="00117D17">
        <w:rPr>
          <w:rFonts w:ascii="Arial" w:hAnsi="Arial" w:cs="Arial"/>
          <w:szCs w:val="24"/>
          <w:lang w:val="hr-HR"/>
        </w:rPr>
        <w:t>g</w:t>
      </w:r>
      <w:r w:rsidRPr="00117D17">
        <w:rPr>
          <w:rFonts w:ascii="Arial" w:hAnsi="Arial" w:cs="Arial"/>
          <w:szCs w:val="24"/>
          <w:lang w:val="hr-HR"/>
        </w:rPr>
        <w:t xml:space="preserve">odišnji izvještaj o izvršenju proračuna do </w:t>
      </w:r>
      <w:r w:rsidR="00BE6D27">
        <w:rPr>
          <w:rFonts w:ascii="Arial" w:hAnsi="Arial" w:cs="Arial"/>
          <w:szCs w:val="24"/>
          <w:lang w:val="hr-HR"/>
        </w:rPr>
        <w:t>30</w:t>
      </w:r>
      <w:r w:rsidRPr="00117D17">
        <w:rPr>
          <w:rFonts w:ascii="Arial" w:hAnsi="Arial" w:cs="Arial"/>
          <w:szCs w:val="24"/>
          <w:lang w:val="hr-HR"/>
        </w:rPr>
        <w:t xml:space="preserve">. </w:t>
      </w:r>
      <w:r w:rsidR="00123710">
        <w:rPr>
          <w:rFonts w:ascii="Arial" w:hAnsi="Arial" w:cs="Arial"/>
          <w:szCs w:val="24"/>
          <w:lang w:val="hr-HR"/>
        </w:rPr>
        <w:t xml:space="preserve">rujna </w:t>
      </w:r>
      <w:r w:rsidRPr="00117D17">
        <w:rPr>
          <w:rFonts w:ascii="Arial" w:hAnsi="Arial" w:cs="Arial"/>
          <w:szCs w:val="24"/>
          <w:lang w:val="hr-HR"/>
        </w:rPr>
        <w:t>tekuće</w:t>
      </w:r>
      <w:r w:rsidR="00123710">
        <w:rPr>
          <w:rFonts w:ascii="Arial" w:hAnsi="Arial" w:cs="Arial"/>
          <w:szCs w:val="24"/>
          <w:lang w:val="hr-HR"/>
        </w:rPr>
        <w:t xml:space="preserve"> proračunske godine</w:t>
      </w:r>
      <w:r w:rsidRPr="00117D17">
        <w:rPr>
          <w:rFonts w:ascii="Arial" w:hAnsi="Arial" w:cs="Arial"/>
          <w:szCs w:val="24"/>
          <w:lang w:val="hr-HR"/>
        </w:rPr>
        <w:t xml:space="preserve">. </w:t>
      </w:r>
      <w:r w:rsidRPr="00117D17">
        <w:rPr>
          <w:rFonts w:ascii="Arial" w:hAnsi="Arial" w:cs="Arial"/>
          <w:szCs w:val="24"/>
          <w:lang w:val="hr-HR"/>
        </w:rPr>
        <w:tab/>
      </w:r>
      <w:r w:rsidR="00AB0B8E" w:rsidRPr="00117D17">
        <w:rPr>
          <w:rFonts w:ascii="Arial" w:hAnsi="Arial" w:cs="Arial"/>
          <w:szCs w:val="24"/>
          <w:lang w:val="hr-HR"/>
        </w:rPr>
        <w:t xml:space="preserve"> </w:t>
      </w:r>
    </w:p>
    <w:p w14:paraId="13506B86" w14:textId="22E50B0A" w:rsidR="0044319D" w:rsidRPr="00117D17" w:rsidRDefault="0044319D" w:rsidP="0044319D">
      <w:pPr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lastRenderedPageBreak/>
        <w:tab/>
      </w:r>
      <w:r w:rsidR="00DC367A" w:rsidRPr="00117D17">
        <w:rPr>
          <w:rFonts w:ascii="Arial" w:hAnsi="Arial" w:cs="Arial"/>
          <w:szCs w:val="24"/>
          <w:lang w:val="hr-HR"/>
        </w:rPr>
        <w:t xml:space="preserve">Prema </w:t>
      </w:r>
      <w:r w:rsidR="003451CB" w:rsidRPr="00117D17">
        <w:rPr>
          <w:rFonts w:ascii="Arial" w:hAnsi="Arial" w:cs="Arial"/>
          <w:szCs w:val="24"/>
          <w:lang w:val="hr-HR"/>
        </w:rPr>
        <w:t>Zakon</w:t>
      </w:r>
      <w:r w:rsidR="006E6E05">
        <w:rPr>
          <w:rFonts w:ascii="Arial" w:hAnsi="Arial" w:cs="Arial"/>
          <w:szCs w:val="24"/>
          <w:lang w:val="hr-HR"/>
        </w:rPr>
        <w:t>u</w:t>
      </w:r>
      <w:r w:rsidR="003451CB" w:rsidRPr="00117D17">
        <w:rPr>
          <w:rFonts w:ascii="Arial" w:hAnsi="Arial" w:cs="Arial"/>
          <w:szCs w:val="24"/>
          <w:lang w:val="hr-HR"/>
        </w:rPr>
        <w:t xml:space="preserve"> o proračunu (članak </w:t>
      </w:r>
      <w:r w:rsidR="006E6E05">
        <w:rPr>
          <w:rFonts w:ascii="Arial" w:hAnsi="Arial" w:cs="Arial"/>
          <w:szCs w:val="24"/>
          <w:lang w:val="hr-HR"/>
        </w:rPr>
        <w:t>144</w:t>
      </w:r>
      <w:r w:rsidR="003451CB" w:rsidRPr="00117D17">
        <w:rPr>
          <w:rFonts w:ascii="Arial" w:hAnsi="Arial" w:cs="Arial"/>
          <w:szCs w:val="24"/>
          <w:lang w:val="hr-HR"/>
        </w:rPr>
        <w:t xml:space="preserve">. stavak </w:t>
      </w:r>
      <w:r w:rsidR="00A33393">
        <w:rPr>
          <w:rFonts w:ascii="Arial" w:hAnsi="Arial" w:cs="Arial"/>
          <w:szCs w:val="24"/>
          <w:lang w:val="hr-HR"/>
        </w:rPr>
        <w:t>3</w:t>
      </w:r>
      <w:r w:rsidR="003451CB" w:rsidRPr="00117D17">
        <w:rPr>
          <w:rFonts w:ascii="Arial" w:hAnsi="Arial" w:cs="Arial"/>
          <w:szCs w:val="24"/>
          <w:lang w:val="hr-HR"/>
        </w:rPr>
        <w:t xml:space="preserve">. i </w:t>
      </w:r>
      <w:r w:rsidR="00A33393">
        <w:rPr>
          <w:rFonts w:ascii="Arial" w:hAnsi="Arial" w:cs="Arial"/>
          <w:szCs w:val="24"/>
          <w:lang w:val="hr-HR"/>
        </w:rPr>
        <w:t>5</w:t>
      </w:r>
      <w:r w:rsidR="003451CB" w:rsidRPr="00117D17">
        <w:rPr>
          <w:rFonts w:ascii="Arial" w:hAnsi="Arial" w:cs="Arial"/>
          <w:szCs w:val="24"/>
          <w:lang w:val="hr-HR"/>
        </w:rPr>
        <w:t xml:space="preserve">.), te prema članku </w:t>
      </w:r>
      <w:r w:rsidR="00901656">
        <w:rPr>
          <w:rFonts w:ascii="Arial" w:hAnsi="Arial" w:cs="Arial"/>
          <w:szCs w:val="24"/>
          <w:lang w:val="hr-HR"/>
        </w:rPr>
        <w:t>5</w:t>
      </w:r>
      <w:r w:rsidR="009517BE">
        <w:rPr>
          <w:rFonts w:ascii="Arial" w:hAnsi="Arial" w:cs="Arial"/>
          <w:szCs w:val="24"/>
          <w:lang w:val="hr-HR"/>
        </w:rPr>
        <w:t>7</w:t>
      </w:r>
      <w:r w:rsidR="003451CB" w:rsidRPr="00117D17">
        <w:rPr>
          <w:rFonts w:ascii="Arial" w:hAnsi="Arial" w:cs="Arial"/>
          <w:szCs w:val="24"/>
          <w:lang w:val="hr-HR"/>
        </w:rPr>
        <w:t>. Pravilnika</w:t>
      </w:r>
      <w:r w:rsidR="006A217C">
        <w:rPr>
          <w:rFonts w:ascii="Arial" w:hAnsi="Arial" w:cs="Arial"/>
          <w:szCs w:val="24"/>
          <w:lang w:val="hr-HR"/>
        </w:rPr>
        <w:t xml:space="preserve"> </w:t>
      </w:r>
      <w:r w:rsidR="006A217C" w:rsidRPr="00117D17">
        <w:rPr>
          <w:rFonts w:ascii="Arial" w:hAnsi="Arial" w:cs="Arial"/>
          <w:szCs w:val="24"/>
          <w:lang w:val="hr-HR"/>
        </w:rPr>
        <w:t>o polugodišnjem i godišnjem izvješ</w:t>
      </w:r>
      <w:r w:rsidR="009517BE">
        <w:rPr>
          <w:rFonts w:ascii="Arial" w:hAnsi="Arial" w:cs="Arial"/>
          <w:szCs w:val="24"/>
          <w:lang w:val="hr-HR"/>
        </w:rPr>
        <w:t>ć</w:t>
      </w:r>
      <w:r w:rsidR="006A217C" w:rsidRPr="00117D17">
        <w:rPr>
          <w:rFonts w:ascii="Arial" w:hAnsi="Arial" w:cs="Arial"/>
          <w:szCs w:val="24"/>
          <w:lang w:val="hr-HR"/>
        </w:rPr>
        <w:t>u o izvršenju proračuna</w:t>
      </w:r>
      <w:r w:rsidR="009517BE">
        <w:rPr>
          <w:rFonts w:ascii="Arial" w:hAnsi="Arial" w:cs="Arial"/>
          <w:szCs w:val="24"/>
          <w:lang w:val="hr-HR"/>
        </w:rPr>
        <w:t xml:space="preserve"> i financijskog plana</w:t>
      </w:r>
      <w:r w:rsidR="003451CB" w:rsidRPr="00117D17">
        <w:rPr>
          <w:rFonts w:ascii="Arial" w:hAnsi="Arial" w:cs="Arial"/>
          <w:szCs w:val="24"/>
          <w:lang w:val="hr-HR"/>
        </w:rPr>
        <w:t xml:space="preserve">, potrebno je polugodišnji i godišnji izvještaj o izvršenju proračunu objaviti, u cijelosti, sa svim prilozima, na internetskim stranicama jedinice lokalne i područne (regionalne) samouprave. U službenom glasilu i nadalje se objavljuju opći i </w:t>
      </w:r>
      <w:r w:rsidR="005D0A97" w:rsidRPr="00117D17">
        <w:rPr>
          <w:rFonts w:ascii="Arial" w:hAnsi="Arial" w:cs="Arial"/>
          <w:szCs w:val="24"/>
          <w:lang w:val="hr-HR"/>
        </w:rPr>
        <w:t>posebni dio polugodišnjeg i godišnjeg izvještaja o izvršenju proračuna JLIP(R)S. Time se naglašava načelo transparentnosti, što je bitno zbog uvida javnosti i svih zainteresiranih u način trošenja proračunskih sredstava.</w:t>
      </w:r>
    </w:p>
    <w:p w14:paraId="0F39BCBD" w14:textId="77777777" w:rsidR="00562AFE" w:rsidRDefault="0016256C" w:rsidP="00CC5265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14:paraId="13791A65" w14:textId="57F37882" w:rsidR="00BC19A9" w:rsidRDefault="00BC19A9" w:rsidP="00BC19A9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 s</w:t>
      </w:r>
      <w:r w:rsidRPr="00117D17">
        <w:rPr>
          <w:rFonts w:ascii="Arial" w:hAnsi="Arial" w:cs="Arial"/>
          <w:szCs w:val="24"/>
          <w:lang w:val="hr-HR"/>
        </w:rPr>
        <w:t xml:space="preserve">adržaj </w:t>
      </w:r>
      <w:r>
        <w:rPr>
          <w:rFonts w:ascii="Arial" w:hAnsi="Arial" w:cs="Arial"/>
          <w:szCs w:val="24"/>
          <w:lang w:val="hr-HR"/>
        </w:rPr>
        <w:t>g</w:t>
      </w:r>
      <w:r w:rsidRPr="00117D17">
        <w:rPr>
          <w:rFonts w:ascii="Arial" w:hAnsi="Arial" w:cs="Arial"/>
          <w:szCs w:val="24"/>
          <w:lang w:val="hr-HR"/>
        </w:rPr>
        <w:t>odišnjeg</w:t>
      </w:r>
      <w:r>
        <w:rPr>
          <w:rFonts w:ascii="Arial" w:hAnsi="Arial" w:cs="Arial"/>
          <w:szCs w:val="24"/>
          <w:lang w:val="hr-HR"/>
        </w:rPr>
        <w:t xml:space="preserve"> i polugodišnjeg</w:t>
      </w:r>
      <w:r w:rsidRPr="00117D17">
        <w:rPr>
          <w:rFonts w:ascii="Arial" w:hAnsi="Arial" w:cs="Arial"/>
          <w:szCs w:val="24"/>
          <w:lang w:val="hr-HR"/>
        </w:rPr>
        <w:t xml:space="preserve"> izvještaja o izvršenju proračuna </w:t>
      </w:r>
      <w:r>
        <w:rPr>
          <w:rFonts w:ascii="Arial" w:hAnsi="Arial" w:cs="Arial"/>
          <w:szCs w:val="24"/>
          <w:lang w:val="hr-HR"/>
        </w:rPr>
        <w:t xml:space="preserve">primjenjuju se odredbe </w:t>
      </w:r>
      <w:r w:rsidRPr="00117D17">
        <w:rPr>
          <w:rFonts w:ascii="Arial" w:hAnsi="Arial" w:cs="Arial"/>
          <w:szCs w:val="24"/>
          <w:lang w:val="hr-HR"/>
        </w:rPr>
        <w:t>člank</w:t>
      </w:r>
      <w:r>
        <w:rPr>
          <w:rFonts w:ascii="Arial" w:hAnsi="Arial" w:cs="Arial"/>
          <w:szCs w:val="24"/>
          <w:lang w:val="hr-HR"/>
        </w:rPr>
        <w:t>a</w:t>
      </w:r>
      <w:r w:rsidRPr="00117D1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76. do 78.</w:t>
      </w:r>
      <w:r w:rsidRPr="00117D17">
        <w:rPr>
          <w:rFonts w:ascii="Arial" w:hAnsi="Arial" w:cs="Arial"/>
          <w:szCs w:val="24"/>
          <w:lang w:val="hr-HR"/>
        </w:rPr>
        <w:t xml:space="preserve"> Zakona o proračunu</w:t>
      </w:r>
      <w:r>
        <w:rPr>
          <w:rFonts w:ascii="Arial" w:hAnsi="Arial" w:cs="Arial"/>
          <w:szCs w:val="24"/>
          <w:lang w:val="hr-HR"/>
        </w:rPr>
        <w:t xml:space="preserve"> i članka 4. Pravilnika o polugodišnjem i godišnjem izvješ</w:t>
      </w:r>
      <w:r w:rsidR="003158CB">
        <w:rPr>
          <w:rFonts w:ascii="Arial" w:hAnsi="Arial" w:cs="Arial"/>
          <w:szCs w:val="24"/>
          <w:lang w:val="hr-HR"/>
        </w:rPr>
        <w:t>ć</w:t>
      </w:r>
      <w:r>
        <w:rPr>
          <w:rFonts w:ascii="Arial" w:hAnsi="Arial" w:cs="Arial"/>
          <w:szCs w:val="24"/>
          <w:lang w:val="hr-HR"/>
        </w:rPr>
        <w:t>u o izvršenju proračuna</w:t>
      </w:r>
      <w:r w:rsidR="003158CB">
        <w:rPr>
          <w:rFonts w:ascii="Arial" w:hAnsi="Arial" w:cs="Arial"/>
          <w:szCs w:val="24"/>
          <w:lang w:val="hr-HR"/>
        </w:rPr>
        <w:t xml:space="preserve"> i financijskog plana</w:t>
      </w:r>
      <w:r w:rsidRPr="00117D17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Obrazloženje polugodišnjeg i godišnjeg izvještaja o izvršenju proračuna je sadržano u člancima 79. i 80. Zakona o proračunu</w:t>
      </w:r>
      <w:r w:rsidR="00901656">
        <w:rPr>
          <w:rFonts w:ascii="Arial" w:hAnsi="Arial" w:cs="Arial"/>
          <w:szCs w:val="24"/>
          <w:lang w:val="hr-HR"/>
        </w:rPr>
        <w:t xml:space="preserve"> te od članka 1</w:t>
      </w:r>
      <w:r w:rsidR="003158CB">
        <w:rPr>
          <w:rFonts w:ascii="Arial" w:hAnsi="Arial" w:cs="Arial"/>
          <w:szCs w:val="24"/>
          <w:lang w:val="hr-HR"/>
        </w:rPr>
        <w:t>7</w:t>
      </w:r>
      <w:r w:rsidR="00901656">
        <w:rPr>
          <w:rFonts w:ascii="Arial" w:hAnsi="Arial" w:cs="Arial"/>
          <w:szCs w:val="24"/>
          <w:lang w:val="hr-HR"/>
        </w:rPr>
        <w:t>. Pravilnika o polugodišnjem i godišnjem izvješ</w:t>
      </w:r>
      <w:r w:rsidR="003158CB">
        <w:rPr>
          <w:rFonts w:ascii="Arial" w:hAnsi="Arial" w:cs="Arial"/>
          <w:szCs w:val="24"/>
          <w:lang w:val="hr-HR"/>
        </w:rPr>
        <w:t>ć</w:t>
      </w:r>
      <w:r w:rsidR="00901656">
        <w:rPr>
          <w:rFonts w:ascii="Arial" w:hAnsi="Arial" w:cs="Arial"/>
          <w:szCs w:val="24"/>
          <w:lang w:val="hr-HR"/>
        </w:rPr>
        <w:t>u o izvršenju proračuna</w:t>
      </w:r>
      <w:r w:rsidR="003158CB">
        <w:rPr>
          <w:rFonts w:ascii="Arial" w:hAnsi="Arial" w:cs="Arial"/>
          <w:szCs w:val="24"/>
          <w:lang w:val="hr-HR"/>
        </w:rPr>
        <w:t xml:space="preserve"> i financijskog plana</w:t>
      </w:r>
      <w:r>
        <w:rPr>
          <w:rFonts w:ascii="Arial" w:hAnsi="Arial" w:cs="Arial"/>
          <w:szCs w:val="24"/>
          <w:lang w:val="hr-HR"/>
        </w:rPr>
        <w:t>.</w:t>
      </w:r>
    </w:p>
    <w:p w14:paraId="462DC92A" w14:textId="77777777" w:rsidR="009F2591" w:rsidRDefault="009F2591" w:rsidP="00BC19A9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27F64DB7" w14:textId="25FBC127" w:rsidR="00BC19A9" w:rsidRDefault="00BC19A9" w:rsidP="00BC19A9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Navedenim člancima utvrđeno je da </w:t>
      </w:r>
      <w:r>
        <w:rPr>
          <w:rFonts w:ascii="Arial" w:hAnsi="Arial" w:cs="Arial"/>
          <w:b/>
          <w:szCs w:val="24"/>
          <w:lang w:val="hr-HR"/>
        </w:rPr>
        <w:t>Polug</w:t>
      </w:r>
      <w:r w:rsidRPr="0002768D">
        <w:rPr>
          <w:rFonts w:ascii="Arial" w:hAnsi="Arial" w:cs="Arial"/>
          <w:b/>
          <w:szCs w:val="24"/>
          <w:lang w:val="hr-HR"/>
        </w:rPr>
        <w:t>odišnji izvještaj o izvršenju proračuna sadrži:</w:t>
      </w:r>
    </w:p>
    <w:p w14:paraId="2F1021B9" w14:textId="77777777" w:rsidR="00BC19A9" w:rsidRDefault="00BC19A9" w:rsidP="00BC19A9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Opći dio proračuna koji čini Račun prihoda i rashoda i Račun financiranja na razini ekonomske klasifikacije,</w:t>
      </w:r>
    </w:p>
    <w:p w14:paraId="18EA918C" w14:textId="77777777" w:rsidR="00BC19A9" w:rsidRDefault="00BC19A9" w:rsidP="00BC19A9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Posebni dio proračuna sadrži izvršenje rashoda i izdataka JLS i njihovih proračunskih korisnika iskazanih po organizacijskoj klasifikaciji, izvorima financiranja i ekonomskoj klasifikaciji, raspoređenih u programe koji se sastoje od aktivnosti i projekata</w:t>
      </w:r>
    </w:p>
    <w:p w14:paraId="19330B15" w14:textId="77777777" w:rsidR="009F2591" w:rsidRDefault="009F2591" w:rsidP="00BC19A9">
      <w:pPr>
        <w:ind w:left="720"/>
        <w:jc w:val="both"/>
        <w:rPr>
          <w:rFonts w:ascii="Arial" w:hAnsi="Arial" w:cs="Arial"/>
          <w:b/>
          <w:bCs/>
          <w:szCs w:val="24"/>
          <w:lang w:val="hr-HR"/>
        </w:rPr>
      </w:pPr>
    </w:p>
    <w:p w14:paraId="79DE6B71" w14:textId="3262F3E3" w:rsidR="00BC19A9" w:rsidRDefault="00BC19A9" w:rsidP="00BC19A9">
      <w:pPr>
        <w:ind w:left="720"/>
        <w:jc w:val="both"/>
        <w:rPr>
          <w:rFonts w:ascii="Arial" w:hAnsi="Arial" w:cs="Arial"/>
          <w:szCs w:val="24"/>
          <w:lang w:val="hr-HR"/>
        </w:rPr>
      </w:pPr>
      <w:r w:rsidRPr="00AE1E04">
        <w:rPr>
          <w:rFonts w:ascii="Arial" w:hAnsi="Arial" w:cs="Arial"/>
          <w:b/>
          <w:bCs/>
          <w:szCs w:val="24"/>
          <w:lang w:val="hr-HR"/>
        </w:rPr>
        <w:t>Obrazloženje</w:t>
      </w:r>
      <w:r>
        <w:rPr>
          <w:rFonts w:ascii="Arial" w:hAnsi="Arial" w:cs="Arial"/>
          <w:szCs w:val="24"/>
          <w:lang w:val="hr-HR"/>
        </w:rPr>
        <w:t xml:space="preserve"> polugodišnjeg i godišnjeg izvještaja o izvršenju proračuna</w:t>
      </w:r>
    </w:p>
    <w:p w14:paraId="64CCC81B" w14:textId="782350BA" w:rsidR="00BC19A9" w:rsidRDefault="00BC19A9" w:rsidP="00BC19A9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sastoji se od obrazloženja općeg dijela izvještaja o izvršenju proračuna i obrazloženja posebnog dijela izvještaja o izvršenju proračuna.</w:t>
      </w:r>
      <w:r w:rsidR="003158CB">
        <w:rPr>
          <w:rFonts w:ascii="Arial" w:hAnsi="Arial" w:cs="Arial"/>
          <w:szCs w:val="24"/>
          <w:lang w:val="hr-HR"/>
        </w:rPr>
        <w:t xml:space="preserve"> Obrazloženje u </w:t>
      </w:r>
      <w:r w:rsidR="003158CB" w:rsidRPr="009517BE">
        <w:rPr>
          <w:rFonts w:ascii="Arial" w:hAnsi="Arial" w:cs="Arial"/>
          <w:b/>
          <w:bCs/>
          <w:szCs w:val="24"/>
          <w:lang w:val="hr-HR"/>
        </w:rPr>
        <w:t>polugodišnjem izvještaju</w:t>
      </w:r>
      <w:r w:rsidR="003158CB">
        <w:rPr>
          <w:rFonts w:ascii="Arial" w:hAnsi="Arial" w:cs="Arial"/>
          <w:szCs w:val="24"/>
          <w:lang w:val="hr-HR"/>
        </w:rPr>
        <w:t xml:space="preserve"> o izvršenju proračuna sastoji se od općeg dijela izvještaja o izvršenju proračuna.</w:t>
      </w:r>
    </w:p>
    <w:p w14:paraId="07593A51" w14:textId="77777777" w:rsidR="00CA41CD" w:rsidRDefault="00BC19A9" w:rsidP="00BC19A9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14:paraId="1F25AFF8" w14:textId="18301318" w:rsidR="00BC19A9" w:rsidRDefault="00BC19A9" w:rsidP="00CA41CD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AE1E04">
        <w:rPr>
          <w:rFonts w:ascii="Arial" w:hAnsi="Arial" w:cs="Arial"/>
          <w:b/>
          <w:bCs/>
          <w:szCs w:val="24"/>
          <w:lang w:val="hr-HR"/>
        </w:rPr>
        <w:t>Posebni izvještaji</w:t>
      </w:r>
      <w:r>
        <w:rPr>
          <w:rFonts w:ascii="Arial" w:hAnsi="Arial" w:cs="Arial"/>
          <w:szCs w:val="24"/>
          <w:lang w:val="hr-HR"/>
        </w:rPr>
        <w:t xml:space="preserve"> u polugodišnjem izvještaju o izvršenju proračuna su:</w:t>
      </w:r>
    </w:p>
    <w:p w14:paraId="03DC6FC0" w14:textId="77777777" w:rsidR="00BC19A9" w:rsidRDefault="00BC19A9" w:rsidP="00BC19A9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 w:rsidRPr="0025038C">
        <w:rPr>
          <w:rFonts w:ascii="Arial" w:hAnsi="Arial" w:cs="Arial"/>
          <w:szCs w:val="24"/>
          <w:lang w:val="hr-HR"/>
        </w:rPr>
        <w:t xml:space="preserve">Izvještaj o </w:t>
      </w:r>
      <w:r>
        <w:rPr>
          <w:rFonts w:ascii="Arial" w:hAnsi="Arial" w:cs="Arial"/>
          <w:szCs w:val="24"/>
          <w:lang w:val="hr-HR"/>
        </w:rPr>
        <w:t>korištenju proračunske zalihe</w:t>
      </w:r>
    </w:p>
    <w:p w14:paraId="36EC2CB6" w14:textId="77777777" w:rsidR="00BC19A9" w:rsidRDefault="00BC19A9" w:rsidP="00BC19A9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 w:rsidRPr="00F370AA">
        <w:rPr>
          <w:rFonts w:ascii="Arial" w:hAnsi="Arial" w:cs="Arial"/>
          <w:szCs w:val="24"/>
          <w:lang w:val="hr-HR"/>
        </w:rPr>
        <w:t xml:space="preserve">Izvještaj o </w:t>
      </w:r>
      <w:r w:rsidRPr="0025038C">
        <w:rPr>
          <w:rFonts w:ascii="Arial" w:hAnsi="Arial" w:cs="Arial"/>
          <w:szCs w:val="24"/>
          <w:lang w:val="hr-HR"/>
        </w:rPr>
        <w:t>zaduživanju na domaćem i stranom tržištu novca i kapitala</w:t>
      </w:r>
    </w:p>
    <w:p w14:paraId="3AEDB2D6" w14:textId="77777777" w:rsidR="00BC19A9" w:rsidRPr="00F370AA" w:rsidRDefault="00BC19A9" w:rsidP="00BC19A9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 w:rsidRPr="00F370AA">
        <w:rPr>
          <w:rFonts w:ascii="Arial" w:hAnsi="Arial" w:cs="Arial"/>
          <w:szCs w:val="24"/>
          <w:lang w:val="hr-HR"/>
        </w:rPr>
        <w:t xml:space="preserve">Izvještaj o danim jamstvima </w:t>
      </w:r>
      <w:r>
        <w:rPr>
          <w:rFonts w:ascii="Arial" w:hAnsi="Arial" w:cs="Arial"/>
          <w:szCs w:val="24"/>
          <w:lang w:val="hr-HR"/>
        </w:rPr>
        <w:t>i plaćanjima po protestiranim jamstvima</w:t>
      </w:r>
    </w:p>
    <w:p w14:paraId="7121DC7D" w14:textId="77777777" w:rsidR="00BC19A9" w:rsidRPr="00117D17" w:rsidRDefault="00BC19A9" w:rsidP="00CC5265">
      <w:pPr>
        <w:jc w:val="both"/>
        <w:rPr>
          <w:rFonts w:ascii="Arial" w:hAnsi="Arial" w:cs="Arial"/>
          <w:szCs w:val="24"/>
          <w:lang w:val="hr-HR"/>
        </w:rPr>
      </w:pPr>
    </w:p>
    <w:p w14:paraId="350A55F5" w14:textId="77777777" w:rsidR="00C861D0" w:rsidRPr="00117D17" w:rsidRDefault="0044319D" w:rsidP="006D7920">
      <w:pPr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ab/>
      </w:r>
      <w:r w:rsidR="009B7A44" w:rsidRPr="00117D17">
        <w:rPr>
          <w:rFonts w:ascii="Arial" w:hAnsi="Arial" w:cs="Arial"/>
          <w:szCs w:val="24"/>
          <w:lang w:val="hr-HR"/>
        </w:rPr>
        <w:t>Prihodi i rashodi prikazani</w:t>
      </w:r>
      <w:r w:rsidR="000A2488" w:rsidRPr="00117D17">
        <w:rPr>
          <w:rFonts w:ascii="Arial" w:hAnsi="Arial" w:cs="Arial"/>
          <w:szCs w:val="24"/>
          <w:lang w:val="hr-HR"/>
        </w:rPr>
        <w:t xml:space="preserve"> su</w:t>
      </w:r>
      <w:r w:rsidR="009B7A44" w:rsidRPr="00117D17">
        <w:rPr>
          <w:rFonts w:ascii="Arial" w:hAnsi="Arial" w:cs="Arial"/>
          <w:szCs w:val="24"/>
          <w:lang w:val="hr-HR"/>
        </w:rPr>
        <w:t xml:space="preserve"> primjenom modificiranog računovodstv</w:t>
      </w:r>
      <w:r w:rsidR="00FB5799">
        <w:rPr>
          <w:rFonts w:ascii="Arial" w:hAnsi="Arial" w:cs="Arial"/>
          <w:szCs w:val="24"/>
          <w:lang w:val="hr-HR"/>
        </w:rPr>
        <w:t>enog načela nastanka događaja, tj</w:t>
      </w:r>
      <w:r w:rsidR="009B7A44" w:rsidRPr="00117D17">
        <w:rPr>
          <w:rFonts w:ascii="Arial" w:hAnsi="Arial" w:cs="Arial"/>
          <w:szCs w:val="24"/>
          <w:lang w:val="hr-HR"/>
        </w:rPr>
        <w:t>. prihodi se priznaju u izvještajnom razdoblju u kojem su postali raspoloživi, dok se rashodi priznaju na temelju nastanka poslovnog događaja (obveza) u izvještajnom razdoblju na koje se odnose, a neovisno o plaćanju.</w:t>
      </w:r>
      <w:r w:rsidR="00F968EF">
        <w:rPr>
          <w:rFonts w:ascii="Arial" w:hAnsi="Arial" w:cs="Arial"/>
          <w:szCs w:val="24"/>
          <w:lang w:val="hr-HR"/>
        </w:rPr>
        <w:t xml:space="preserve"> </w:t>
      </w:r>
    </w:p>
    <w:p w14:paraId="689073CA" w14:textId="77777777" w:rsidR="00C20AF2" w:rsidRDefault="0016256C" w:rsidP="0016256C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Prihod je povećanje ekonomskih koristi tijekom izvještajnog razdoblja u obliku priljeva novca i novčanih ekvivalenata. Evidentira se na temelju nastanka događaja, priznaje se prema kriteriju mjerljivosti i raspoloživosti – u trenutku priljeva novčanih sredstava na račun u razdoblju na koje se odnose. Temeljno se klasificiraju na prihode od poslovanja (tekući prihodi) i prihodi od prodaje nefinancijske imovine (kapitalni prihodi). Prihodi poslovanja klasificiraju se na prihode od poreza, prihode od doprinosa, potpore, prihode od imovine, prihode od administrativnih pristojbi i po posebnim propisima i ostale prihode. Prihodi od prodaje nefinancijske imovine klasificiraju se prema vrstama prodane </w:t>
      </w:r>
      <w:r>
        <w:rPr>
          <w:rFonts w:ascii="Arial" w:hAnsi="Arial" w:cs="Arial"/>
          <w:szCs w:val="24"/>
          <w:lang w:val="hr-HR"/>
        </w:rPr>
        <w:lastRenderedPageBreak/>
        <w:t>nefinancijske imovine.</w:t>
      </w:r>
      <w:r w:rsidR="00D86221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 Primici su priljevi novca i novčanih ekvivalenata po svim osnovama.</w:t>
      </w:r>
    </w:p>
    <w:p w14:paraId="2F35A3B6" w14:textId="77777777" w:rsidR="009B647E" w:rsidRDefault="009B647E" w:rsidP="0016256C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33E43169" w14:textId="77777777" w:rsidR="009B647E" w:rsidRDefault="009B647E" w:rsidP="0016256C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59343849" w14:textId="24EEE726" w:rsidR="009B647E" w:rsidRDefault="009B647E" w:rsidP="009B647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2. Obrazloženje ostvarenja prihoda i primitaka, rashoda i izdataka</w:t>
      </w:r>
    </w:p>
    <w:p w14:paraId="43603A30" w14:textId="77777777" w:rsidR="009B647E" w:rsidRDefault="009B647E" w:rsidP="009B647E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5DA50BF7" w14:textId="3393824A" w:rsidR="009B647E" w:rsidRDefault="009B647E" w:rsidP="009B647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Zakonom o proračunu i Pravilnikom o polugodišnjem i godišnjem izvje</w:t>
      </w:r>
      <w:r w:rsidR="009517BE">
        <w:rPr>
          <w:rFonts w:ascii="Arial" w:hAnsi="Arial" w:cs="Arial"/>
          <w:szCs w:val="24"/>
          <w:lang w:val="hr-HR"/>
        </w:rPr>
        <w:t>šć</w:t>
      </w:r>
      <w:r>
        <w:rPr>
          <w:rFonts w:ascii="Arial" w:hAnsi="Arial" w:cs="Arial"/>
          <w:szCs w:val="24"/>
          <w:lang w:val="hr-HR"/>
        </w:rPr>
        <w:t>u o izvršenju proračuna</w:t>
      </w:r>
      <w:r w:rsidR="009517BE">
        <w:rPr>
          <w:rFonts w:ascii="Arial" w:hAnsi="Arial" w:cs="Arial"/>
          <w:szCs w:val="24"/>
          <w:lang w:val="hr-HR"/>
        </w:rPr>
        <w:t xml:space="preserve"> i financijskog plana</w:t>
      </w:r>
      <w:r>
        <w:rPr>
          <w:rFonts w:ascii="Arial" w:hAnsi="Arial" w:cs="Arial"/>
          <w:szCs w:val="24"/>
          <w:lang w:val="hr-HR"/>
        </w:rPr>
        <w:t xml:space="preserve"> propisana je obveza sastavljanja i podnošenja Polugodišnjeg izvještaja o izvršenju proračuna na donošenje predstavničkom tijelu jedinice lokalne i područne (regionalne) samouprave.</w:t>
      </w:r>
    </w:p>
    <w:p w14:paraId="1FC8FC57" w14:textId="0E18F4BF" w:rsidR="009B647E" w:rsidRDefault="009B647E" w:rsidP="009B647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 s</w:t>
      </w:r>
      <w:r w:rsidRPr="00117D17">
        <w:rPr>
          <w:rFonts w:ascii="Arial" w:hAnsi="Arial" w:cs="Arial"/>
          <w:szCs w:val="24"/>
          <w:lang w:val="hr-HR"/>
        </w:rPr>
        <w:t xml:space="preserve">adržaj </w:t>
      </w:r>
      <w:r>
        <w:rPr>
          <w:rFonts w:ascii="Arial" w:hAnsi="Arial" w:cs="Arial"/>
          <w:szCs w:val="24"/>
          <w:lang w:val="hr-HR"/>
        </w:rPr>
        <w:t>Polug</w:t>
      </w:r>
      <w:r w:rsidRPr="00117D17">
        <w:rPr>
          <w:rFonts w:ascii="Arial" w:hAnsi="Arial" w:cs="Arial"/>
          <w:szCs w:val="24"/>
          <w:lang w:val="hr-HR"/>
        </w:rPr>
        <w:t xml:space="preserve">odišnjeg izvještaja o izvršenju proračuna </w:t>
      </w:r>
      <w:r>
        <w:rPr>
          <w:rFonts w:ascii="Arial" w:hAnsi="Arial" w:cs="Arial"/>
          <w:szCs w:val="24"/>
          <w:lang w:val="hr-HR"/>
        </w:rPr>
        <w:t xml:space="preserve">primjenjuju se odredbe </w:t>
      </w:r>
      <w:r w:rsidRPr="00117D17">
        <w:rPr>
          <w:rFonts w:ascii="Arial" w:hAnsi="Arial" w:cs="Arial"/>
          <w:szCs w:val="24"/>
          <w:lang w:val="hr-HR"/>
        </w:rPr>
        <w:t>člank</w:t>
      </w:r>
      <w:r>
        <w:rPr>
          <w:rFonts w:ascii="Arial" w:hAnsi="Arial" w:cs="Arial"/>
          <w:szCs w:val="24"/>
          <w:lang w:val="hr-HR"/>
        </w:rPr>
        <w:t>a</w:t>
      </w:r>
      <w:r w:rsidRPr="00117D1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76</w:t>
      </w:r>
      <w:r w:rsidRPr="00117D17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>-78</w:t>
      </w:r>
      <w:r w:rsidRPr="00117D17">
        <w:rPr>
          <w:rFonts w:ascii="Arial" w:hAnsi="Arial" w:cs="Arial"/>
          <w:szCs w:val="24"/>
          <w:lang w:val="hr-HR"/>
        </w:rPr>
        <w:t xml:space="preserve"> Zakona o proračunu</w:t>
      </w:r>
      <w:r>
        <w:rPr>
          <w:rFonts w:ascii="Arial" w:hAnsi="Arial" w:cs="Arial"/>
          <w:szCs w:val="24"/>
          <w:lang w:val="hr-HR"/>
        </w:rPr>
        <w:t xml:space="preserve"> i članka 4. Pravilnika o polugodišnjem i godišnjem izvješ</w:t>
      </w:r>
      <w:r w:rsidR="009517BE">
        <w:rPr>
          <w:rFonts w:ascii="Arial" w:hAnsi="Arial" w:cs="Arial"/>
          <w:szCs w:val="24"/>
          <w:lang w:val="hr-HR"/>
        </w:rPr>
        <w:t>ć</w:t>
      </w:r>
      <w:r>
        <w:rPr>
          <w:rFonts w:ascii="Arial" w:hAnsi="Arial" w:cs="Arial"/>
          <w:szCs w:val="24"/>
          <w:lang w:val="hr-HR"/>
        </w:rPr>
        <w:t>u o izvršenju proračuna</w:t>
      </w:r>
      <w:r w:rsidR="009517BE">
        <w:rPr>
          <w:rFonts w:ascii="Arial" w:hAnsi="Arial" w:cs="Arial"/>
          <w:szCs w:val="24"/>
          <w:lang w:val="hr-HR"/>
        </w:rPr>
        <w:t xml:space="preserve"> i financijskog plana</w:t>
      </w:r>
      <w:r w:rsidRPr="00117D17">
        <w:rPr>
          <w:rFonts w:ascii="Arial" w:hAnsi="Arial" w:cs="Arial"/>
          <w:szCs w:val="24"/>
          <w:lang w:val="hr-HR"/>
        </w:rPr>
        <w:t xml:space="preserve">. Shodno navedenom propisu izrađen je </w:t>
      </w:r>
      <w:r>
        <w:rPr>
          <w:rFonts w:ascii="Arial" w:hAnsi="Arial" w:cs="Arial"/>
          <w:szCs w:val="24"/>
          <w:lang w:val="hr-HR"/>
        </w:rPr>
        <w:t>Polug</w:t>
      </w:r>
      <w:r w:rsidRPr="00117D17">
        <w:rPr>
          <w:rFonts w:ascii="Arial" w:hAnsi="Arial" w:cs="Arial"/>
          <w:szCs w:val="24"/>
          <w:lang w:val="hr-HR"/>
        </w:rPr>
        <w:t>odišnji izvještaj o izvršenju Proračuna Grad Donjeg Miholjca za razdoblje od 01. siječnja do 3</w:t>
      </w:r>
      <w:r>
        <w:rPr>
          <w:rFonts w:ascii="Arial" w:hAnsi="Arial" w:cs="Arial"/>
          <w:szCs w:val="24"/>
          <w:lang w:val="hr-HR"/>
        </w:rPr>
        <w:t>0</w:t>
      </w:r>
      <w:r w:rsidRPr="00117D17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lipnja</w:t>
      </w:r>
      <w:r w:rsidRPr="00117D17">
        <w:rPr>
          <w:rFonts w:ascii="Arial" w:hAnsi="Arial" w:cs="Arial"/>
          <w:szCs w:val="24"/>
          <w:lang w:val="hr-HR"/>
        </w:rPr>
        <w:t xml:space="preserve"> 20</w:t>
      </w:r>
      <w:r>
        <w:rPr>
          <w:rFonts w:ascii="Arial" w:hAnsi="Arial" w:cs="Arial"/>
          <w:szCs w:val="24"/>
          <w:lang w:val="hr-HR"/>
        </w:rPr>
        <w:t>2</w:t>
      </w:r>
      <w:r w:rsidR="00CA41CD">
        <w:rPr>
          <w:rFonts w:ascii="Arial" w:hAnsi="Arial" w:cs="Arial"/>
          <w:szCs w:val="24"/>
          <w:lang w:val="hr-HR"/>
        </w:rPr>
        <w:t>5</w:t>
      </w:r>
      <w:r w:rsidRPr="00117D17">
        <w:rPr>
          <w:rFonts w:ascii="Arial" w:hAnsi="Arial" w:cs="Arial"/>
          <w:szCs w:val="24"/>
          <w:lang w:val="hr-HR"/>
        </w:rPr>
        <w:t>. godine.</w:t>
      </w:r>
    </w:p>
    <w:p w14:paraId="777D558D" w14:textId="77777777" w:rsidR="009B647E" w:rsidRDefault="009B647E" w:rsidP="0016256C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2E94EA28" w14:textId="759240CD" w:rsidR="00CC5265" w:rsidRDefault="00CC5265" w:rsidP="00CC5265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4126E3">
        <w:rPr>
          <w:rFonts w:ascii="Arial" w:hAnsi="Arial" w:cs="Arial"/>
          <w:szCs w:val="24"/>
          <w:lang w:val="hr-HR"/>
        </w:rPr>
        <w:t>Financiranje</w:t>
      </w:r>
      <w:r w:rsidRPr="00AD6250">
        <w:rPr>
          <w:rFonts w:ascii="Arial" w:hAnsi="Arial" w:cs="Arial"/>
          <w:color w:val="FF0000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javnih rashoda Grada Donjeg Miholjca u 20</w:t>
      </w:r>
      <w:r w:rsidR="00DC627C">
        <w:rPr>
          <w:rFonts w:ascii="Arial" w:hAnsi="Arial" w:cs="Arial"/>
          <w:szCs w:val="24"/>
          <w:lang w:val="hr-HR"/>
        </w:rPr>
        <w:t>2</w:t>
      </w:r>
      <w:r w:rsidR="00AD6250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. godini izvršeno je na osnovi sljedećih financijsko-planskih dokumenata:</w:t>
      </w:r>
    </w:p>
    <w:p w14:paraId="28B02493" w14:textId="77777777" w:rsidR="00CA41CD" w:rsidRPr="00117D17" w:rsidRDefault="00CA41CD" w:rsidP="00CC5265">
      <w:pPr>
        <w:jc w:val="both"/>
        <w:rPr>
          <w:rFonts w:ascii="Arial" w:hAnsi="Arial" w:cs="Arial"/>
          <w:szCs w:val="24"/>
          <w:lang w:val="hr-HR"/>
        </w:rPr>
      </w:pPr>
    </w:p>
    <w:p w14:paraId="21E7DEF1" w14:textId="4FE61C42" w:rsidR="00CC5265" w:rsidRPr="00117D17" w:rsidRDefault="00CC5265" w:rsidP="00CC5265">
      <w:pPr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 xml:space="preserve">- </w:t>
      </w:r>
      <w:r w:rsidRPr="00117D17">
        <w:rPr>
          <w:rFonts w:ascii="Arial" w:hAnsi="Arial" w:cs="Arial"/>
          <w:szCs w:val="24"/>
          <w:lang w:val="hr-HR"/>
        </w:rPr>
        <w:t>Proračun Grada Donjeg Miholjca za 20</w:t>
      </w:r>
      <w:r w:rsidR="00DC627C">
        <w:rPr>
          <w:rFonts w:ascii="Arial" w:hAnsi="Arial" w:cs="Arial"/>
          <w:szCs w:val="24"/>
          <w:lang w:val="hr-HR"/>
        </w:rPr>
        <w:t>2</w:t>
      </w:r>
      <w:r w:rsidR="00CA41CD">
        <w:rPr>
          <w:rFonts w:ascii="Arial" w:hAnsi="Arial" w:cs="Arial"/>
          <w:szCs w:val="24"/>
          <w:lang w:val="hr-HR"/>
        </w:rPr>
        <w:t>5</w:t>
      </w:r>
      <w:r w:rsidRPr="00117D17">
        <w:rPr>
          <w:rFonts w:ascii="Arial" w:hAnsi="Arial" w:cs="Arial"/>
          <w:szCs w:val="24"/>
          <w:lang w:val="hr-HR"/>
        </w:rPr>
        <w:t xml:space="preserve">. godinu donijelo je Gradsko vijeće na svojoj </w:t>
      </w:r>
      <w:r w:rsidR="00CA41CD">
        <w:rPr>
          <w:rFonts w:ascii="Arial" w:hAnsi="Arial" w:cs="Arial"/>
          <w:szCs w:val="24"/>
          <w:lang w:val="hr-HR"/>
        </w:rPr>
        <w:t>24</w:t>
      </w:r>
      <w:r w:rsidRPr="00117D17">
        <w:rPr>
          <w:rFonts w:ascii="Arial" w:hAnsi="Arial" w:cs="Arial"/>
          <w:szCs w:val="24"/>
          <w:lang w:val="hr-HR"/>
        </w:rPr>
        <w:t>.</w:t>
      </w:r>
      <w:r w:rsidR="00CA41CD">
        <w:rPr>
          <w:rFonts w:ascii="Arial" w:hAnsi="Arial" w:cs="Arial"/>
          <w:szCs w:val="24"/>
          <w:lang w:val="hr-HR"/>
        </w:rPr>
        <w:t xml:space="preserve"> </w:t>
      </w:r>
      <w:r w:rsidRPr="00117D17">
        <w:rPr>
          <w:rFonts w:ascii="Arial" w:hAnsi="Arial" w:cs="Arial"/>
          <w:szCs w:val="24"/>
          <w:lang w:val="hr-HR"/>
        </w:rPr>
        <w:t xml:space="preserve">sjednici, održanoj dana </w:t>
      </w:r>
      <w:r w:rsidR="005F7496">
        <w:rPr>
          <w:rFonts w:ascii="Arial" w:hAnsi="Arial" w:cs="Arial"/>
          <w:szCs w:val="24"/>
          <w:lang w:val="hr-HR"/>
        </w:rPr>
        <w:t>2</w:t>
      </w:r>
      <w:r w:rsidR="00CA41CD">
        <w:rPr>
          <w:rFonts w:ascii="Arial" w:hAnsi="Arial" w:cs="Arial"/>
          <w:szCs w:val="24"/>
          <w:lang w:val="hr-HR"/>
        </w:rPr>
        <w:t>3</w:t>
      </w:r>
      <w:r w:rsidRPr="00117D17">
        <w:rPr>
          <w:rFonts w:ascii="Arial" w:hAnsi="Arial" w:cs="Arial"/>
          <w:szCs w:val="24"/>
          <w:lang w:val="hr-HR"/>
        </w:rPr>
        <w:t>. prosinca 20</w:t>
      </w:r>
      <w:r w:rsidR="000B637F">
        <w:rPr>
          <w:rFonts w:ascii="Arial" w:hAnsi="Arial" w:cs="Arial"/>
          <w:szCs w:val="24"/>
          <w:lang w:val="hr-HR"/>
        </w:rPr>
        <w:t>2</w:t>
      </w:r>
      <w:r w:rsidR="00CA41CD">
        <w:rPr>
          <w:rFonts w:ascii="Arial" w:hAnsi="Arial" w:cs="Arial"/>
          <w:szCs w:val="24"/>
          <w:lang w:val="hr-HR"/>
        </w:rPr>
        <w:t>4</w:t>
      </w:r>
      <w:r w:rsidRPr="00117D17">
        <w:rPr>
          <w:rFonts w:ascii="Arial" w:hAnsi="Arial" w:cs="Arial"/>
          <w:szCs w:val="24"/>
          <w:lang w:val="hr-HR"/>
        </w:rPr>
        <w:t>.</w:t>
      </w:r>
      <w:r w:rsidR="00EF00CC">
        <w:rPr>
          <w:rFonts w:ascii="Arial" w:hAnsi="Arial" w:cs="Arial"/>
          <w:szCs w:val="24"/>
          <w:lang w:val="hr-HR"/>
        </w:rPr>
        <w:t xml:space="preserve"> </w:t>
      </w:r>
      <w:r w:rsidR="00DA1057">
        <w:rPr>
          <w:rFonts w:ascii="Arial" w:hAnsi="Arial" w:cs="Arial"/>
          <w:szCs w:val="24"/>
          <w:lang w:val="hr-HR"/>
        </w:rPr>
        <w:t>g</w:t>
      </w:r>
      <w:r w:rsidRPr="00117D17">
        <w:rPr>
          <w:rFonts w:ascii="Arial" w:hAnsi="Arial" w:cs="Arial"/>
          <w:szCs w:val="24"/>
          <w:lang w:val="hr-HR"/>
        </w:rPr>
        <w:t>odine</w:t>
      </w:r>
      <w:r w:rsidR="00CA41CD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( "Službeni glasnik" Grada Donjeg Miholjca </w:t>
      </w:r>
      <w:r w:rsidR="00CA41CD">
        <w:rPr>
          <w:rFonts w:ascii="Arial" w:hAnsi="Arial" w:cs="Arial"/>
          <w:szCs w:val="24"/>
          <w:lang w:val="hr-HR"/>
        </w:rPr>
        <w:t>9/24</w:t>
      </w:r>
      <w:r>
        <w:rPr>
          <w:rFonts w:ascii="Arial" w:hAnsi="Arial" w:cs="Arial"/>
          <w:szCs w:val="24"/>
          <w:lang w:val="hr-HR"/>
        </w:rPr>
        <w:t>)</w:t>
      </w:r>
      <w:r w:rsidRPr="00117D17">
        <w:rPr>
          <w:rFonts w:ascii="Arial" w:hAnsi="Arial" w:cs="Arial"/>
          <w:szCs w:val="24"/>
          <w:lang w:val="hr-HR"/>
        </w:rPr>
        <w:t xml:space="preserve"> u svoti od =</w:t>
      </w:r>
      <w:r w:rsidR="00CA41CD">
        <w:rPr>
          <w:rFonts w:ascii="Arial" w:hAnsi="Arial" w:cs="Arial"/>
          <w:szCs w:val="24"/>
          <w:lang w:val="hr-HR"/>
        </w:rPr>
        <w:t xml:space="preserve"> </w:t>
      </w:r>
      <w:r w:rsidR="00092F70" w:rsidRPr="0068792C">
        <w:rPr>
          <w:rFonts w:ascii="Arial" w:hAnsi="Arial" w:cs="Arial"/>
          <w:szCs w:val="24"/>
          <w:lang w:val="hr-HR"/>
        </w:rPr>
        <w:t>12.846.601,11</w:t>
      </w:r>
      <w:r w:rsidR="00375424">
        <w:rPr>
          <w:rFonts w:ascii="Arial" w:hAnsi="Arial" w:cs="Arial"/>
          <w:szCs w:val="24"/>
          <w:lang w:val="hr-HR"/>
        </w:rPr>
        <w:t xml:space="preserve"> </w:t>
      </w:r>
      <w:r w:rsidR="00092F70">
        <w:rPr>
          <w:rFonts w:ascii="Arial" w:hAnsi="Arial" w:cs="Arial"/>
          <w:szCs w:val="24"/>
          <w:lang w:val="hr-HR"/>
        </w:rPr>
        <w:t>e</w:t>
      </w:r>
      <w:r w:rsidR="00375424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 prihoda</w:t>
      </w:r>
      <w:r w:rsidR="00DC627C">
        <w:rPr>
          <w:rFonts w:ascii="Arial" w:hAnsi="Arial" w:cs="Arial"/>
          <w:szCs w:val="24"/>
          <w:lang w:val="hr-HR"/>
        </w:rPr>
        <w:t xml:space="preserve"> i primitaka</w:t>
      </w:r>
      <w:r>
        <w:rPr>
          <w:rFonts w:ascii="Arial" w:hAnsi="Arial" w:cs="Arial"/>
          <w:szCs w:val="24"/>
          <w:lang w:val="hr-HR"/>
        </w:rPr>
        <w:t xml:space="preserve"> i </w:t>
      </w:r>
      <w:r w:rsidR="00092F70">
        <w:rPr>
          <w:rFonts w:ascii="Arial" w:hAnsi="Arial" w:cs="Arial"/>
          <w:szCs w:val="24"/>
          <w:lang w:val="hr-HR"/>
        </w:rPr>
        <w:t>13.940.015,00</w:t>
      </w:r>
      <w:r w:rsidR="00375424">
        <w:rPr>
          <w:rFonts w:ascii="Arial" w:hAnsi="Arial" w:cs="Arial"/>
          <w:szCs w:val="24"/>
          <w:lang w:val="hr-HR"/>
        </w:rPr>
        <w:t xml:space="preserve"> </w:t>
      </w:r>
      <w:r w:rsidR="00092F70">
        <w:rPr>
          <w:rFonts w:ascii="Arial" w:hAnsi="Arial" w:cs="Arial"/>
          <w:szCs w:val="24"/>
          <w:lang w:val="hr-HR"/>
        </w:rPr>
        <w:t>e</w:t>
      </w:r>
      <w:r w:rsidR="00375424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 rashoda</w:t>
      </w:r>
      <w:r w:rsidR="00DC627C">
        <w:rPr>
          <w:rFonts w:ascii="Arial" w:hAnsi="Arial" w:cs="Arial"/>
          <w:szCs w:val="24"/>
          <w:lang w:val="hr-HR"/>
        </w:rPr>
        <w:t xml:space="preserve"> i izdataka</w:t>
      </w:r>
      <w:r w:rsidR="00E0395A">
        <w:rPr>
          <w:rFonts w:ascii="Arial" w:hAnsi="Arial" w:cs="Arial"/>
          <w:szCs w:val="24"/>
          <w:lang w:val="hr-HR"/>
        </w:rPr>
        <w:t xml:space="preserve"> uz pretpostavljeni </w:t>
      </w:r>
      <w:r w:rsidR="00E0395A" w:rsidRPr="0068792C">
        <w:rPr>
          <w:rFonts w:ascii="Arial" w:hAnsi="Arial" w:cs="Arial"/>
          <w:szCs w:val="24"/>
          <w:lang w:val="hr-HR"/>
        </w:rPr>
        <w:t xml:space="preserve">višak od </w:t>
      </w:r>
      <w:r w:rsidR="00EF00CC" w:rsidRPr="0068792C">
        <w:rPr>
          <w:rFonts w:ascii="Arial" w:hAnsi="Arial" w:cs="Arial"/>
          <w:szCs w:val="24"/>
          <w:lang w:val="hr-HR"/>
        </w:rPr>
        <w:t>1.</w:t>
      </w:r>
      <w:r w:rsidR="00092F70" w:rsidRPr="0068792C">
        <w:rPr>
          <w:rFonts w:ascii="Arial" w:hAnsi="Arial" w:cs="Arial"/>
          <w:szCs w:val="24"/>
          <w:lang w:val="hr-HR"/>
        </w:rPr>
        <w:t>093.413,89 e</w:t>
      </w:r>
      <w:r w:rsidR="00E0395A" w:rsidRPr="0068792C">
        <w:rPr>
          <w:rFonts w:ascii="Arial" w:hAnsi="Arial" w:cs="Arial"/>
          <w:szCs w:val="24"/>
          <w:lang w:val="hr-HR"/>
        </w:rPr>
        <w:t>ura</w:t>
      </w:r>
      <w:r w:rsidRPr="0068792C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Tijekom prvog polugodišta 20</w:t>
      </w:r>
      <w:r w:rsidR="00DC627C">
        <w:rPr>
          <w:rFonts w:ascii="Arial" w:hAnsi="Arial" w:cs="Arial"/>
          <w:szCs w:val="24"/>
          <w:lang w:val="hr-HR"/>
        </w:rPr>
        <w:t>2</w:t>
      </w:r>
      <w:r w:rsidR="00092F70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 xml:space="preserve">. godine proračun </w:t>
      </w:r>
      <w:r w:rsidR="00C43E6A">
        <w:rPr>
          <w:rFonts w:ascii="Arial" w:hAnsi="Arial" w:cs="Arial"/>
          <w:szCs w:val="24"/>
          <w:lang w:val="hr-HR"/>
        </w:rPr>
        <w:t>ni</w:t>
      </w:r>
      <w:r>
        <w:rPr>
          <w:rFonts w:ascii="Arial" w:hAnsi="Arial" w:cs="Arial"/>
          <w:szCs w:val="24"/>
          <w:lang w:val="hr-HR"/>
        </w:rPr>
        <w:t>je mijenjan i dopunjavan.</w:t>
      </w:r>
    </w:p>
    <w:p w14:paraId="5760984B" w14:textId="77777777" w:rsidR="00E001A2" w:rsidRDefault="00E001A2" w:rsidP="0016256C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2FBF5FCC" w14:textId="0281B625" w:rsidR="002169EE" w:rsidRDefault="004A1E26" w:rsidP="00D86221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 w:rsidR="008B6D32">
        <w:rPr>
          <w:rFonts w:ascii="Arial" w:hAnsi="Arial" w:cs="Arial"/>
          <w:szCs w:val="24"/>
          <w:lang w:val="hr-HR"/>
        </w:rPr>
        <w:t>U strukturi ukupnih prihoda i primitaka</w:t>
      </w:r>
      <w:r w:rsidR="00D86221">
        <w:rPr>
          <w:rFonts w:ascii="Arial" w:hAnsi="Arial" w:cs="Arial"/>
          <w:szCs w:val="24"/>
          <w:lang w:val="hr-HR"/>
        </w:rPr>
        <w:t>,</w:t>
      </w:r>
      <w:r w:rsidR="00B03FA3">
        <w:rPr>
          <w:rFonts w:ascii="Arial" w:hAnsi="Arial" w:cs="Arial"/>
          <w:szCs w:val="24"/>
          <w:lang w:val="hr-HR"/>
        </w:rPr>
        <w:t xml:space="preserve"> </w:t>
      </w:r>
      <w:r w:rsidR="005678FD">
        <w:rPr>
          <w:rFonts w:ascii="Arial" w:hAnsi="Arial" w:cs="Arial"/>
          <w:szCs w:val="24"/>
          <w:lang w:val="hr-HR"/>
        </w:rPr>
        <w:t>rashoda i izdataka,</w:t>
      </w:r>
      <w:r w:rsidR="00D86221">
        <w:rPr>
          <w:rFonts w:ascii="Arial" w:hAnsi="Arial" w:cs="Arial"/>
          <w:szCs w:val="24"/>
          <w:lang w:val="hr-HR"/>
        </w:rPr>
        <w:t xml:space="preserve"> </w:t>
      </w:r>
      <w:r w:rsidR="00D86221" w:rsidRPr="00935EA6">
        <w:rPr>
          <w:rFonts w:ascii="Arial" w:hAnsi="Arial" w:cs="Arial"/>
          <w:b/>
          <w:szCs w:val="24"/>
          <w:lang w:val="hr-HR"/>
        </w:rPr>
        <w:t>u iz</w:t>
      </w:r>
      <w:r w:rsidR="005678FD" w:rsidRPr="00935EA6">
        <w:rPr>
          <w:rFonts w:ascii="Arial" w:hAnsi="Arial" w:cs="Arial"/>
          <w:b/>
          <w:szCs w:val="24"/>
          <w:lang w:val="hr-HR"/>
        </w:rPr>
        <w:t>vršenju proračuna su svi prihodi i primici te rashodi i izdaci</w:t>
      </w:r>
      <w:r w:rsidR="00092F70">
        <w:rPr>
          <w:rFonts w:ascii="Arial" w:hAnsi="Arial" w:cs="Arial"/>
          <w:b/>
          <w:szCs w:val="24"/>
          <w:lang w:val="hr-HR"/>
        </w:rPr>
        <w:t xml:space="preserve"> </w:t>
      </w:r>
      <w:r w:rsidR="000E55B0" w:rsidRPr="00935EA6">
        <w:rPr>
          <w:rFonts w:ascii="Arial" w:hAnsi="Arial" w:cs="Arial"/>
          <w:b/>
          <w:szCs w:val="24"/>
          <w:lang w:val="hr-HR"/>
        </w:rPr>
        <w:t>i proračunskih korisnika, s napomenom da se eliminiraju njihovi prihodi</w:t>
      </w:r>
      <w:r w:rsidR="003A32E9">
        <w:rPr>
          <w:rFonts w:ascii="Arial" w:hAnsi="Arial" w:cs="Arial"/>
          <w:b/>
          <w:szCs w:val="24"/>
          <w:lang w:val="hr-HR"/>
        </w:rPr>
        <w:t xml:space="preserve"> iz nadležnog proračuna</w:t>
      </w:r>
      <w:r w:rsidR="000E55B0" w:rsidRPr="00935EA6">
        <w:rPr>
          <w:rFonts w:ascii="Arial" w:hAnsi="Arial" w:cs="Arial"/>
          <w:b/>
          <w:szCs w:val="24"/>
          <w:lang w:val="hr-HR"/>
        </w:rPr>
        <w:t xml:space="preserve"> (konto 67)  jer su to prihodi iz izvora</w:t>
      </w:r>
      <w:r w:rsidR="00092F70">
        <w:rPr>
          <w:rFonts w:ascii="Arial" w:hAnsi="Arial" w:cs="Arial"/>
          <w:b/>
          <w:szCs w:val="24"/>
          <w:lang w:val="hr-HR"/>
        </w:rPr>
        <w:t xml:space="preserve"> </w:t>
      </w:r>
      <w:r w:rsidR="00935EA6">
        <w:rPr>
          <w:rFonts w:ascii="Arial" w:hAnsi="Arial" w:cs="Arial"/>
          <w:b/>
          <w:szCs w:val="24"/>
          <w:lang w:val="hr-HR"/>
        </w:rPr>
        <w:t>-</w:t>
      </w:r>
      <w:r w:rsidR="00092F70">
        <w:rPr>
          <w:rFonts w:ascii="Arial" w:hAnsi="Arial" w:cs="Arial"/>
          <w:b/>
          <w:szCs w:val="24"/>
          <w:lang w:val="hr-HR"/>
        </w:rPr>
        <w:t xml:space="preserve"> </w:t>
      </w:r>
      <w:r w:rsidR="000E55B0" w:rsidRPr="00935EA6">
        <w:rPr>
          <w:rFonts w:ascii="Arial" w:hAnsi="Arial" w:cs="Arial"/>
          <w:b/>
          <w:szCs w:val="24"/>
          <w:lang w:val="hr-HR"/>
        </w:rPr>
        <w:t>opći prihodi i primici</w:t>
      </w:r>
      <w:r w:rsidR="000E55B0">
        <w:rPr>
          <w:rFonts w:ascii="Arial" w:hAnsi="Arial" w:cs="Arial"/>
          <w:szCs w:val="24"/>
          <w:lang w:val="hr-HR"/>
        </w:rPr>
        <w:t xml:space="preserve">, </w:t>
      </w:r>
      <w:r w:rsidR="003A32E9">
        <w:rPr>
          <w:rFonts w:ascii="Arial" w:hAnsi="Arial" w:cs="Arial"/>
          <w:szCs w:val="24"/>
          <w:lang w:val="hr-HR"/>
        </w:rPr>
        <w:t xml:space="preserve">a rashodi </w:t>
      </w:r>
      <w:r w:rsidR="00B03FA3">
        <w:rPr>
          <w:rFonts w:ascii="Arial" w:hAnsi="Arial" w:cs="Arial"/>
          <w:szCs w:val="24"/>
          <w:lang w:val="hr-HR"/>
        </w:rPr>
        <w:t xml:space="preserve"> (36) </w:t>
      </w:r>
      <w:r w:rsidR="003A32E9">
        <w:rPr>
          <w:rFonts w:ascii="Arial" w:hAnsi="Arial" w:cs="Arial"/>
          <w:szCs w:val="24"/>
          <w:lang w:val="hr-HR"/>
        </w:rPr>
        <w:t>s</w:t>
      </w:r>
      <w:r w:rsidR="009F0BAD">
        <w:rPr>
          <w:rFonts w:ascii="Arial" w:hAnsi="Arial" w:cs="Arial"/>
          <w:szCs w:val="24"/>
          <w:lang w:val="hr-HR"/>
        </w:rPr>
        <w:t>e</w:t>
      </w:r>
      <w:r w:rsidR="003A32E9">
        <w:rPr>
          <w:rFonts w:ascii="Arial" w:hAnsi="Arial" w:cs="Arial"/>
          <w:szCs w:val="24"/>
          <w:lang w:val="hr-HR"/>
        </w:rPr>
        <w:t xml:space="preserve"> </w:t>
      </w:r>
      <w:r w:rsidR="009F0BAD">
        <w:rPr>
          <w:rFonts w:ascii="Arial" w:hAnsi="Arial" w:cs="Arial"/>
          <w:szCs w:val="24"/>
          <w:lang w:val="hr-HR"/>
        </w:rPr>
        <w:t xml:space="preserve">eliminiraju </w:t>
      </w:r>
      <w:r w:rsidR="003A32E9">
        <w:rPr>
          <w:rFonts w:ascii="Arial" w:hAnsi="Arial" w:cs="Arial"/>
          <w:szCs w:val="24"/>
          <w:lang w:val="hr-HR"/>
        </w:rPr>
        <w:t xml:space="preserve">iz </w:t>
      </w:r>
      <w:r w:rsidR="009F0BAD">
        <w:rPr>
          <w:rFonts w:ascii="Arial" w:hAnsi="Arial" w:cs="Arial"/>
          <w:szCs w:val="24"/>
          <w:lang w:val="hr-HR"/>
        </w:rPr>
        <w:t>Grada</w:t>
      </w:r>
      <w:r w:rsidR="003A32E9">
        <w:rPr>
          <w:rFonts w:ascii="Arial" w:hAnsi="Arial" w:cs="Arial"/>
          <w:szCs w:val="24"/>
          <w:lang w:val="hr-HR"/>
        </w:rPr>
        <w:t>.</w:t>
      </w:r>
    </w:p>
    <w:p w14:paraId="67C85B2B" w14:textId="0A71841A" w:rsidR="00375424" w:rsidRDefault="00237ABE" w:rsidP="00E36F66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 w:rsidR="00034BF9">
        <w:rPr>
          <w:rFonts w:ascii="Arial" w:hAnsi="Arial" w:cs="Arial"/>
          <w:szCs w:val="24"/>
          <w:lang w:val="hr-HR"/>
        </w:rPr>
        <w:t>U razdoblju od 01. siječnja do 30. lipnja 20</w:t>
      </w:r>
      <w:r w:rsidR="00DC627C">
        <w:rPr>
          <w:rFonts w:ascii="Arial" w:hAnsi="Arial" w:cs="Arial"/>
          <w:szCs w:val="24"/>
          <w:lang w:val="hr-HR"/>
        </w:rPr>
        <w:t>2</w:t>
      </w:r>
      <w:r w:rsidR="00092F70">
        <w:rPr>
          <w:rFonts w:ascii="Arial" w:hAnsi="Arial" w:cs="Arial"/>
          <w:szCs w:val="24"/>
          <w:lang w:val="hr-HR"/>
        </w:rPr>
        <w:t>5</w:t>
      </w:r>
      <w:r w:rsidR="00034BF9">
        <w:rPr>
          <w:rFonts w:ascii="Arial" w:hAnsi="Arial" w:cs="Arial"/>
          <w:szCs w:val="24"/>
          <w:lang w:val="hr-HR"/>
        </w:rPr>
        <w:t xml:space="preserve">. godine ostvareni su ukupni prihodi i primici u iznosu od </w:t>
      </w:r>
      <w:r w:rsidR="0099549C">
        <w:rPr>
          <w:rFonts w:ascii="Arial" w:hAnsi="Arial" w:cs="Arial"/>
          <w:szCs w:val="24"/>
          <w:lang w:val="hr-HR"/>
        </w:rPr>
        <w:t>3.307.354,88</w:t>
      </w:r>
      <w:r w:rsidR="00980CDF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e</w:t>
      </w:r>
      <w:r w:rsidR="00980CDF">
        <w:rPr>
          <w:rFonts w:ascii="Arial" w:hAnsi="Arial" w:cs="Arial"/>
          <w:szCs w:val="24"/>
          <w:lang w:val="hr-HR"/>
        </w:rPr>
        <w:t>ura</w:t>
      </w:r>
      <w:r w:rsidR="00034BF9">
        <w:rPr>
          <w:rFonts w:ascii="Arial" w:hAnsi="Arial" w:cs="Arial"/>
          <w:szCs w:val="24"/>
          <w:lang w:val="hr-HR"/>
        </w:rPr>
        <w:t>.</w:t>
      </w:r>
    </w:p>
    <w:p w14:paraId="5BCAD3D3" w14:textId="3E57E638" w:rsidR="000E55B0" w:rsidRDefault="00E36F66" w:rsidP="00E36F66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 w:rsidR="005678FD">
        <w:rPr>
          <w:rFonts w:ascii="Arial" w:hAnsi="Arial" w:cs="Arial"/>
          <w:szCs w:val="24"/>
          <w:lang w:val="hr-HR"/>
        </w:rPr>
        <w:t xml:space="preserve">Istodobno, ukupni rashodi i izdaci ostvareni su u iznosu od </w:t>
      </w:r>
      <w:r w:rsidR="0099549C">
        <w:rPr>
          <w:rFonts w:ascii="Arial" w:hAnsi="Arial" w:cs="Arial"/>
          <w:szCs w:val="24"/>
          <w:lang w:val="hr-HR"/>
        </w:rPr>
        <w:t>5.067.225,64</w:t>
      </w:r>
      <w:r w:rsidR="00980CDF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e</w:t>
      </w:r>
      <w:r w:rsidR="00980CDF">
        <w:rPr>
          <w:rFonts w:ascii="Arial" w:hAnsi="Arial" w:cs="Arial"/>
          <w:szCs w:val="24"/>
          <w:lang w:val="hr-HR"/>
        </w:rPr>
        <w:t>ura</w:t>
      </w:r>
      <w:r w:rsidR="005678FD">
        <w:rPr>
          <w:rFonts w:ascii="Arial" w:hAnsi="Arial" w:cs="Arial"/>
          <w:szCs w:val="24"/>
          <w:lang w:val="hr-HR"/>
        </w:rPr>
        <w:t>.</w:t>
      </w:r>
      <w:r w:rsidR="0099549C">
        <w:rPr>
          <w:rFonts w:ascii="Arial" w:hAnsi="Arial" w:cs="Arial"/>
          <w:szCs w:val="24"/>
          <w:lang w:val="hr-HR"/>
        </w:rPr>
        <w:t xml:space="preserve"> </w:t>
      </w:r>
      <w:r w:rsidR="00F41562">
        <w:rPr>
          <w:rFonts w:ascii="Arial" w:hAnsi="Arial" w:cs="Arial"/>
          <w:szCs w:val="24"/>
          <w:lang w:val="hr-HR"/>
        </w:rPr>
        <w:t xml:space="preserve">Ostvaren je </w:t>
      </w:r>
      <w:r w:rsidR="0099549C">
        <w:rPr>
          <w:rFonts w:ascii="Arial" w:hAnsi="Arial" w:cs="Arial"/>
          <w:szCs w:val="24"/>
          <w:lang w:val="hr-HR"/>
        </w:rPr>
        <w:t>manjak</w:t>
      </w:r>
      <w:r w:rsidR="00F41562">
        <w:rPr>
          <w:rFonts w:ascii="Arial" w:hAnsi="Arial" w:cs="Arial"/>
          <w:szCs w:val="24"/>
          <w:lang w:val="hr-HR"/>
        </w:rPr>
        <w:t xml:space="preserve"> od </w:t>
      </w:r>
      <w:r w:rsidR="0099549C">
        <w:rPr>
          <w:rFonts w:ascii="Arial" w:hAnsi="Arial" w:cs="Arial"/>
          <w:szCs w:val="24"/>
          <w:lang w:val="hr-HR"/>
        </w:rPr>
        <w:t>1.759.870,76</w:t>
      </w:r>
      <w:r w:rsidR="00F41562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e</w:t>
      </w:r>
      <w:r w:rsidR="00F41562">
        <w:rPr>
          <w:rFonts w:ascii="Arial" w:hAnsi="Arial" w:cs="Arial"/>
          <w:szCs w:val="24"/>
          <w:lang w:val="hr-HR"/>
        </w:rPr>
        <w:t xml:space="preserve">ura, što uz donos viška iz prethodnih godina od </w:t>
      </w:r>
      <w:r w:rsidR="001801CD">
        <w:rPr>
          <w:rFonts w:ascii="Arial" w:hAnsi="Arial" w:cs="Arial"/>
          <w:szCs w:val="24"/>
          <w:lang w:val="hr-HR"/>
        </w:rPr>
        <w:t>1.</w:t>
      </w:r>
      <w:r w:rsidR="0099549C">
        <w:rPr>
          <w:rFonts w:ascii="Arial" w:hAnsi="Arial" w:cs="Arial"/>
          <w:szCs w:val="24"/>
          <w:lang w:val="hr-HR"/>
        </w:rPr>
        <w:t>510.747,36</w:t>
      </w:r>
      <w:r w:rsidR="00F41562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e</w:t>
      </w:r>
      <w:r w:rsidR="00F41562">
        <w:rPr>
          <w:rFonts w:ascii="Arial" w:hAnsi="Arial" w:cs="Arial"/>
          <w:szCs w:val="24"/>
          <w:lang w:val="hr-HR"/>
        </w:rPr>
        <w:t xml:space="preserve">ura, ukupan </w:t>
      </w:r>
      <w:r w:rsidR="0099549C">
        <w:rPr>
          <w:rFonts w:ascii="Arial" w:hAnsi="Arial" w:cs="Arial"/>
          <w:szCs w:val="24"/>
          <w:lang w:val="hr-HR"/>
        </w:rPr>
        <w:t>manjak</w:t>
      </w:r>
      <w:r w:rsidR="00F41562">
        <w:rPr>
          <w:rFonts w:ascii="Arial" w:hAnsi="Arial" w:cs="Arial"/>
          <w:szCs w:val="24"/>
          <w:lang w:val="hr-HR"/>
        </w:rPr>
        <w:t xml:space="preserve"> iznosi </w:t>
      </w:r>
      <w:r w:rsidR="0099549C">
        <w:rPr>
          <w:rFonts w:ascii="Arial" w:hAnsi="Arial" w:cs="Arial"/>
          <w:szCs w:val="24"/>
          <w:lang w:val="hr-HR"/>
        </w:rPr>
        <w:t>249.123,40</w:t>
      </w:r>
      <w:r w:rsidR="00F41562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e</w:t>
      </w:r>
      <w:r w:rsidR="00F41562">
        <w:rPr>
          <w:rFonts w:ascii="Arial" w:hAnsi="Arial" w:cs="Arial"/>
          <w:szCs w:val="24"/>
          <w:lang w:val="hr-HR"/>
        </w:rPr>
        <w:t>ura.</w:t>
      </w:r>
    </w:p>
    <w:p w14:paraId="0F2D20C5" w14:textId="77777777" w:rsidR="00E36F66" w:rsidRDefault="00E36F66" w:rsidP="00E36F66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2B8F4C7D" w14:textId="77777777" w:rsidR="00712994" w:rsidRDefault="00375424" w:rsidP="00712994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2</w:t>
      </w:r>
      <w:r w:rsidR="000E55B0">
        <w:rPr>
          <w:rFonts w:ascii="Arial" w:hAnsi="Arial" w:cs="Arial"/>
          <w:b/>
          <w:szCs w:val="24"/>
          <w:lang w:val="hr-HR"/>
        </w:rPr>
        <w:t xml:space="preserve">.1. Obrazloženje </w:t>
      </w:r>
      <w:r w:rsidR="00712994">
        <w:rPr>
          <w:rFonts w:ascii="Arial" w:hAnsi="Arial" w:cs="Arial"/>
          <w:b/>
          <w:szCs w:val="24"/>
          <w:lang w:val="hr-HR"/>
        </w:rPr>
        <w:t xml:space="preserve">prihoda i rashoda, primitaka i izdataka </w:t>
      </w:r>
      <w:r w:rsidR="000E55B0">
        <w:rPr>
          <w:rFonts w:ascii="Arial" w:hAnsi="Arial" w:cs="Arial"/>
          <w:b/>
          <w:szCs w:val="24"/>
          <w:lang w:val="hr-HR"/>
        </w:rPr>
        <w:t>po</w:t>
      </w:r>
    </w:p>
    <w:p w14:paraId="514ED43F" w14:textId="1796A766" w:rsidR="005678FD" w:rsidRDefault="00712994" w:rsidP="00712994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</w:t>
      </w:r>
      <w:r w:rsidR="000E55B0">
        <w:rPr>
          <w:rFonts w:ascii="Arial" w:hAnsi="Arial" w:cs="Arial"/>
          <w:b/>
          <w:szCs w:val="24"/>
          <w:lang w:val="hr-HR"/>
        </w:rPr>
        <w:t>ekonomskoj klasifikaciji</w:t>
      </w:r>
    </w:p>
    <w:p w14:paraId="583154F2" w14:textId="77777777" w:rsidR="000E55B0" w:rsidRPr="000E55B0" w:rsidRDefault="000E55B0" w:rsidP="00034BF9">
      <w:pPr>
        <w:ind w:firstLine="720"/>
        <w:jc w:val="both"/>
        <w:rPr>
          <w:rFonts w:ascii="Arial" w:hAnsi="Arial" w:cs="Arial"/>
          <w:b/>
          <w:szCs w:val="24"/>
          <w:lang w:val="hr-HR"/>
        </w:rPr>
      </w:pPr>
    </w:p>
    <w:p w14:paraId="77949C81" w14:textId="77777777" w:rsidR="00D507C6" w:rsidRDefault="00D507C6" w:rsidP="00034BF9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Prihodi sadrže prihode proračuna Grada i proračunskih korisnika.</w:t>
      </w:r>
      <w:r w:rsidR="001E35ED">
        <w:rPr>
          <w:rFonts w:ascii="Arial" w:hAnsi="Arial" w:cs="Arial"/>
          <w:szCs w:val="24"/>
          <w:lang w:val="hr-HR"/>
        </w:rPr>
        <w:t xml:space="preserve"> </w:t>
      </w:r>
      <w:r w:rsidR="00753E82">
        <w:rPr>
          <w:rFonts w:ascii="Arial" w:hAnsi="Arial" w:cs="Arial"/>
          <w:szCs w:val="24"/>
          <w:lang w:val="hr-HR"/>
        </w:rPr>
        <w:t>Kod proračunskih korisnika su izuzeti prihodi koje su dobili iz vlastitog proračuna.</w:t>
      </w:r>
    </w:p>
    <w:p w14:paraId="1B4503D7" w14:textId="7317AFA1" w:rsidR="009421A4" w:rsidRDefault="00034BF9" w:rsidP="00034BF9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Unutar ukupnih prihoda i primitaka, prihodi poslovanja  ostvareni su u iznosu od</w:t>
      </w:r>
      <w:r w:rsidR="00553308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3.298.936,10 eura</w:t>
      </w:r>
      <w:r w:rsidR="00BE7E7A">
        <w:rPr>
          <w:rFonts w:ascii="Arial" w:hAnsi="Arial" w:cs="Arial"/>
          <w:szCs w:val="24"/>
          <w:lang w:val="hr-HR"/>
        </w:rPr>
        <w:t xml:space="preserve"> (28,95% planiranih)</w:t>
      </w:r>
      <w:r>
        <w:rPr>
          <w:rFonts w:ascii="Arial" w:hAnsi="Arial" w:cs="Arial"/>
          <w:szCs w:val="24"/>
          <w:lang w:val="hr-HR"/>
        </w:rPr>
        <w:t xml:space="preserve">, prihodi od prodaje nefinancijske imovine  u iznosu od </w:t>
      </w:r>
      <w:r w:rsidR="0099549C">
        <w:rPr>
          <w:rFonts w:ascii="Arial" w:hAnsi="Arial" w:cs="Arial"/>
          <w:szCs w:val="24"/>
          <w:lang w:val="hr-HR"/>
        </w:rPr>
        <w:t>8.418,78</w:t>
      </w:r>
      <w:r w:rsidR="00583A91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e</w:t>
      </w:r>
      <w:r w:rsidR="00583A91">
        <w:rPr>
          <w:rFonts w:ascii="Arial" w:hAnsi="Arial" w:cs="Arial"/>
          <w:szCs w:val="24"/>
          <w:lang w:val="hr-HR"/>
        </w:rPr>
        <w:t>ura</w:t>
      </w:r>
      <w:r w:rsidR="00BE7E7A">
        <w:rPr>
          <w:rFonts w:ascii="Arial" w:hAnsi="Arial" w:cs="Arial"/>
          <w:szCs w:val="24"/>
          <w:lang w:val="hr-HR"/>
        </w:rPr>
        <w:t xml:space="preserve"> (5,56% planiranih)</w:t>
      </w:r>
      <w:r>
        <w:rPr>
          <w:rFonts w:ascii="Arial" w:hAnsi="Arial" w:cs="Arial"/>
          <w:szCs w:val="24"/>
          <w:lang w:val="hr-HR"/>
        </w:rPr>
        <w:t>, dok primi</w:t>
      </w:r>
      <w:r w:rsidR="00F31B3E">
        <w:rPr>
          <w:rFonts w:ascii="Arial" w:hAnsi="Arial" w:cs="Arial"/>
          <w:szCs w:val="24"/>
          <w:lang w:val="hr-HR"/>
        </w:rPr>
        <w:t>taka</w:t>
      </w:r>
      <w:r>
        <w:rPr>
          <w:rFonts w:ascii="Arial" w:hAnsi="Arial" w:cs="Arial"/>
          <w:szCs w:val="24"/>
          <w:lang w:val="hr-HR"/>
        </w:rPr>
        <w:t xml:space="preserve"> od financijske imovine i zaduživanja</w:t>
      </w:r>
      <w:r w:rsidR="00F31B3E">
        <w:rPr>
          <w:rFonts w:ascii="Arial" w:hAnsi="Arial" w:cs="Arial"/>
          <w:szCs w:val="24"/>
          <w:lang w:val="hr-HR"/>
        </w:rPr>
        <w:t xml:space="preserve"> nema.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41B11610" w14:textId="48D4393D" w:rsidR="00ED057B" w:rsidRDefault="00ED057B" w:rsidP="00034BF9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 okviru prihoda poslovanja, prihodi od poreza iznose </w:t>
      </w:r>
      <w:r w:rsidR="0099549C">
        <w:rPr>
          <w:rFonts w:ascii="Arial" w:hAnsi="Arial" w:cs="Arial"/>
          <w:szCs w:val="24"/>
          <w:lang w:val="hr-HR"/>
        </w:rPr>
        <w:t>1.045.954,80</w:t>
      </w:r>
      <w:r w:rsidR="00583A91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e</w:t>
      </w:r>
      <w:r w:rsidR="00583A91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, odnosno </w:t>
      </w:r>
      <w:r w:rsidR="00B91CD3" w:rsidRPr="00B91CD3">
        <w:rPr>
          <w:rFonts w:ascii="Arial" w:hAnsi="Arial" w:cs="Arial"/>
          <w:szCs w:val="24"/>
          <w:lang w:val="hr-HR"/>
        </w:rPr>
        <w:t xml:space="preserve">38,18 </w:t>
      </w:r>
      <w:r w:rsidRPr="00B91CD3">
        <w:rPr>
          <w:rFonts w:ascii="Arial" w:hAnsi="Arial" w:cs="Arial"/>
          <w:szCs w:val="24"/>
          <w:lang w:val="hr-HR"/>
        </w:rPr>
        <w:t>% planiranih</w:t>
      </w:r>
      <w:r w:rsidR="00E63C55">
        <w:rPr>
          <w:rFonts w:ascii="Arial" w:hAnsi="Arial" w:cs="Arial"/>
          <w:szCs w:val="24"/>
          <w:lang w:val="hr-HR"/>
        </w:rPr>
        <w:t xml:space="preserve"> ili </w:t>
      </w:r>
      <w:r w:rsidR="00206EF8">
        <w:rPr>
          <w:rFonts w:ascii="Arial" w:hAnsi="Arial" w:cs="Arial"/>
          <w:szCs w:val="24"/>
          <w:lang w:val="hr-HR"/>
        </w:rPr>
        <w:t xml:space="preserve">za </w:t>
      </w:r>
      <w:r w:rsidR="0099549C">
        <w:rPr>
          <w:rFonts w:ascii="Arial" w:hAnsi="Arial" w:cs="Arial"/>
          <w:szCs w:val="24"/>
          <w:lang w:val="hr-HR"/>
        </w:rPr>
        <w:t>7,3</w:t>
      </w:r>
      <w:r w:rsidR="0062711B">
        <w:rPr>
          <w:rFonts w:ascii="Arial" w:hAnsi="Arial" w:cs="Arial"/>
          <w:szCs w:val="24"/>
          <w:lang w:val="hr-HR"/>
        </w:rPr>
        <w:t>4</w:t>
      </w:r>
      <w:r w:rsidR="0099549C">
        <w:rPr>
          <w:rFonts w:ascii="Arial" w:hAnsi="Arial" w:cs="Arial"/>
          <w:szCs w:val="24"/>
          <w:lang w:val="hr-HR"/>
        </w:rPr>
        <w:t xml:space="preserve"> </w:t>
      </w:r>
      <w:r w:rsidR="00E63C55">
        <w:rPr>
          <w:rFonts w:ascii="Arial" w:hAnsi="Arial" w:cs="Arial"/>
          <w:szCs w:val="24"/>
          <w:lang w:val="hr-HR"/>
        </w:rPr>
        <w:t>%</w:t>
      </w:r>
      <w:r w:rsidR="00206EF8">
        <w:rPr>
          <w:rFonts w:ascii="Arial" w:hAnsi="Arial" w:cs="Arial"/>
          <w:szCs w:val="24"/>
          <w:lang w:val="hr-HR"/>
        </w:rPr>
        <w:t xml:space="preserve"> </w:t>
      </w:r>
      <w:r w:rsidR="0099549C">
        <w:rPr>
          <w:rFonts w:ascii="Arial" w:hAnsi="Arial" w:cs="Arial"/>
          <w:szCs w:val="24"/>
          <w:lang w:val="hr-HR"/>
        </w:rPr>
        <w:t>više</w:t>
      </w:r>
      <w:r w:rsidR="00206EF8">
        <w:rPr>
          <w:rFonts w:ascii="Arial" w:hAnsi="Arial" w:cs="Arial"/>
          <w:szCs w:val="24"/>
          <w:lang w:val="hr-HR"/>
        </w:rPr>
        <w:t xml:space="preserve"> </w:t>
      </w:r>
      <w:r w:rsidR="00E63C55">
        <w:rPr>
          <w:rFonts w:ascii="Arial" w:hAnsi="Arial" w:cs="Arial"/>
          <w:szCs w:val="24"/>
          <w:lang w:val="hr-HR"/>
        </w:rPr>
        <w:t>u odnosu na isto razdoblje protekle godine</w:t>
      </w:r>
      <w:r>
        <w:rPr>
          <w:rFonts w:ascii="Arial" w:hAnsi="Arial" w:cs="Arial"/>
          <w:szCs w:val="24"/>
          <w:lang w:val="hr-HR"/>
        </w:rPr>
        <w:t xml:space="preserve">; pomoći iznose </w:t>
      </w:r>
      <w:r w:rsidR="00FC0460">
        <w:rPr>
          <w:rFonts w:ascii="Arial" w:hAnsi="Arial" w:cs="Arial"/>
          <w:szCs w:val="24"/>
          <w:lang w:val="hr-HR"/>
        </w:rPr>
        <w:t>1.</w:t>
      </w:r>
      <w:r w:rsidR="00B91CD3">
        <w:rPr>
          <w:rFonts w:ascii="Arial" w:hAnsi="Arial" w:cs="Arial"/>
          <w:szCs w:val="24"/>
          <w:lang w:val="hr-HR"/>
        </w:rPr>
        <w:t>904.967,53 e</w:t>
      </w:r>
      <w:r w:rsidR="00712994">
        <w:rPr>
          <w:rFonts w:ascii="Arial" w:hAnsi="Arial" w:cs="Arial"/>
          <w:szCs w:val="24"/>
          <w:lang w:val="hr-HR"/>
        </w:rPr>
        <w:t>ura</w:t>
      </w:r>
      <w:r w:rsidR="006C5939">
        <w:rPr>
          <w:rFonts w:ascii="Arial" w:hAnsi="Arial" w:cs="Arial"/>
          <w:szCs w:val="24"/>
          <w:lang w:val="hr-HR"/>
        </w:rPr>
        <w:t xml:space="preserve"> ili </w:t>
      </w:r>
      <w:r w:rsidR="00712994">
        <w:rPr>
          <w:rFonts w:ascii="Arial" w:hAnsi="Arial" w:cs="Arial"/>
          <w:szCs w:val="24"/>
          <w:lang w:val="hr-HR"/>
        </w:rPr>
        <w:t>2</w:t>
      </w:r>
      <w:r w:rsidR="00FC0460">
        <w:rPr>
          <w:rFonts w:ascii="Arial" w:hAnsi="Arial" w:cs="Arial"/>
          <w:szCs w:val="24"/>
          <w:lang w:val="hr-HR"/>
        </w:rPr>
        <w:t>5</w:t>
      </w:r>
      <w:r w:rsidR="00712994">
        <w:rPr>
          <w:rFonts w:ascii="Arial" w:hAnsi="Arial" w:cs="Arial"/>
          <w:szCs w:val="24"/>
          <w:lang w:val="hr-HR"/>
        </w:rPr>
        <w:t>,</w:t>
      </w:r>
      <w:r w:rsidR="00B91CD3">
        <w:rPr>
          <w:rFonts w:ascii="Arial" w:hAnsi="Arial" w:cs="Arial"/>
          <w:szCs w:val="24"/>
          <w:lang w:val="hr-HR"/>
        </w:rPr>
        <w:t xml:space="preserve">78 </w:t>
      </w:r>
      <w:r w:rsidR="006C5939">
        <w:rPr>
          <w:rFonts w:ascii="Arial" w:hAnsi="Arial" w:cs="Arial"/>
          <w:szCs w:val="24"/>
          <w:lang w:val="hr-HR"/>
        </w:rPr>
        <w:t>% planiranih</w:t>
      </w:r>
      <w:r w:rsidR="00E63C55">
        <w:rPr>
          <w:rFonts w:ascii="Arial" w:hAnsi="Arial" w:cs="Arial"/>
          <w:szCs w:val="24"/>
          <w:lang w:val="hr-HR"/>
        </w:rPr>
        <w:t xml:space="preserve"> </w:t>
      </w:r>
      <w:r w:rsidR="00932CFC">
        <w:rPr>
          <w:rFonts w:ascii="Arial" w:hAnsi="Arial" w:cs="Arial"/>
          <w:szCs w:val="24"/>
          <w:lang w:val="hr-HR"/>
        </w:rPr>
        <w:t>(</w:t>
      </w:r>
      <w:r w:rsidR="00BD659D">
        <w:rPr>
          <w:rFonts w:ascii="Arial" w:hAnsi="Arial" w:cs="Arial"/>
          <w:szCs w:val="24"/>
          <w:lang w:val="hr-HR"/>
        </w:rPr>
        <w:t>734.823,00</w:t>
      </w:r>
      <w:r w:rsidR="00712994">
        <w:rPr>
          <w:rFonts w:ascii="Arial" w:hAnsi="Arial" w:cs="Arial"/>
          <w:szCs w:val="24"/>
          <w:lang w:val="hr-HR"/>
        </w:rPr>
        <w:t xml:space="preserve"> </w:t>
      </w:r>
      <w:r w:rsidR="00BD659D">
        <w:rPr>
          <w:rFonts w:ascii="Arial" w:hAnsi="Arial" w:cs="Arial"/>
          <w:szCs w:val="24"/>
          <w:lang w:val="hr-HR"/>
        </w:rPr>
        <w:t>e</w:t>
      </w:r>
      <w:r w:rsidR="00712994">
        <w:rPr>
          <w:rFonts w:ascii="Arial" w:hAnsi="Arial" w:cs="Arial"/>
          <w:szCs w:val="24"/>
          <w:lang w:val="hr-HR"/>
        </w:rPr>
        <w:t>ura</w:t>
      </w:r>
      <w:r w:rsidR="00932CFC">
        <w:rPr>
          <w:rFonts w:ascii="Arial" w:hAnsi="Arial" w:cs="Arial"/>
          <w:szCs w:val="24"/>
          <w:lang w:val="hr-HR"/>
        </w:rPr>
        <w:t xml:space="preserve"> su kompenzacijske mjere ili fiskalno izravnanje</w:t>
      </w:r>
      <w:r w:rsidR="00FC0460">
        <w:rPr>
          <w:rFonts w:ascii="Arial" w:hAnsi="Arial" w:cs="Arial"/>
          <w:szCs w:val="24"/>
          <w:lang w:val="hr-HR"/>
        </w:rPr>
        <w:t xml:space="preserve">, a </w:t>
      </w:r>
      <w:r w:rsidR="00BD659D">
        <w:rPr>
          <w:rFonts w:ascii="Arial" w:hAnsi="Arial" w:cs="Arial"/>
          <w:szCs w:val="24"/>
          <w:lang w:val="hr-HR"/>
        </w:rPr>
        <w:t>280.182,00</w:t>
      </w:r>
      <w:r w:rsidR="00FC0460">
        <w:rPr>
          <w:rFonts w:ascii="Arial" w:hAnsi="Arial" w:cs="Arial"/>
          <w:szCs w:val="24"/>
          <w:lang w:val="hr-HR"/>
        </w:rPr>
        <w:t xml:space="preserve"> </w:t>
      </w:r>
      <w:r w:rsidR="00BD659D">
        <w:rPr>
          <w:rFonts w:ascii="Arial" w:hAnsi="Arial" w:cs="Arial"/>
          <w:szCs w:val="24"/>
          <w:lang w:val="hr-HR"/>
        </w:rPr>
        <w:t>e</w:t>
      </w:r>
      <w:r w:rsidR="00FC0460">
        <w:rPr>
          <w:rFonts w:ascii="Arial" w:hAnsi="Arial" w:cs="Arial"/>
          <w:szCs w:val="24"/>
          <w:lang w:val="hr-HR"/>
        </w:rPr>
        <w:t>ura je fiskalna održivost dječjih vrtića</w:t>
      </w:r>
      <w:r w:rsidR="00932CFC">
        <w:rPr>
          <w:rFonts w:ascii="Arial" w:hAnsi="Arial" w:cs="Arial"/>
          <w:szCs w:val="24"/>
          <w:lang w:val="hr-HR"/>
        </w:rPr>
        <w:t>)</w:t>
      </w:r>
      <w:r>
        <w:rPr>
          <w:rFonts w:ascii="Arial" w:hAnsi="Arial" w:cs="Arial"/>
          <w:szCs w:val="24"/>
          <w:lang w:val="hr-HR"/>
        </w:rPr>
        <w:t xml:space="preserve">; prihodi od imovine  ostvareni su u iznosu od </w:t>
      </w:r>
      <w:r w:rsidR="008F6DD1" w:rsidRPr="008F6DD1">
        <w:rPr>
          <w:rFonts w:ascii="Arial" w:hAnsi="Arial" w:cs="Arial"/>
          <w:szCs w:val="24"/>
          <w:lang w:val="hr-HR"/>
        </w:rPr>
        <w:t>123.374,03</w:t>
      </w:r>
      <w:r w:rsidR="00712994">
        <w:rPr>
          <w:rFonts w:ascii="Arial" w:hAnsi="Arial" w:cs="Arial"/>
          <w:szCs w:val="24"/>
          <w:lang w:val="hr-HR"/>
        </w:rPr>
        <w:t xml:space="preserve"> </w:t>
      </w:r>
      <w:r w:rsidR="008F6DD1">
        <w:rPr>
          <w:rFonts w:ascii="Arial" w:hAnsi="Arial" w:cs="Arial"/>
          <w:szCs w:val="24"/>
          <w:lang w:val="hr-HR"/>
        </w:rPr>
        <w:t>e</w:t>
      </w:r>
      <w:r w:rsidR="00712994">
        <w:rPr>
          <w:rFonts w:ascii="Arial" w:hAnsi="Arial" w:cs="Arial"/>
          <w:szCs w:val="24"/>
          <w:lang w:val="hr-HR"/>
        </w:rPr>
        <w:t>ura</w:t>
      </w:r>
      <w:r w:rsidR="008F6DD1">
        <w:rPr>
          <w:rFonts w:ascii="Arial" w:hAnsi="Arial" w:cs="Arial"/>
          <w:szCs w:val="24"/>
          <w:lang w:val="hr-HR"/>
        </w:rPr>
        <w:t>, odnosno 25,67 % planiranih</w:t>
      </w:r>
      <w:r w:rsidR="003B5FA0">
        <w:rPr>
          <w:rFonts w:ascii="Arial" w:hAnsi="Arial" w:cs="Arial"/>
          <w:szCs w:val="24"/>
          <w:lang w:val="hr-HR"/>
        </w:rPr>
        <w:t>; prihodi od administrativnih pristojbi</w:t>
      </w:r>
      <w:r w:rsidR="008F6DD1">
        <w:rPr>
          <w:rFonts w:ascii="Arial" w:hAnsi="Arial" w:cs="Arial"/>
          <w:szCs w:val="24"/>
          <w:lang w:val="hr-HR"/>
        </w:rPr>
        <w:t xml:space="preserve">, pristojbi </w:t>
      </w:r>
      <w:r w:rsidR="003B5FA0">
        <w:rPr>
          <w:rFonts w:ascii="Arial" w:hAnsi="Arial" w:cs="Arial"/>
          <w:szCs w:val="24"/>
          <w:lang w:val="hr-HR"/>
        </w:rPr>
        <w:lastRenderedPageBreak/>
        <w:t xml:space="preserve">po posebnim propisima i naknada iznose </w:t>
      </w:r>
      <w:r w:rsidR="008F6DD1">
        <w:rPr>
          <w:rFonts w:ascii="Arial" w:hAnsi="Arial" w:cs="Arial"/>
          <w:szCs w:val="24"/>
          <w:lang w:val="hr-HR"/>
        </w:rPr>
        <w:t>211.191,89</w:t>
      </w:r>
      <w:r w:rsidR="00712994">
        <w:rPr>
          <w:rFonts w:ascii="Arial" w:hAnsi="Arial" w:cs="Arial"/>
          <w:szCs w:val="24"/>
          <w:lang w:val="hr-HR"/>
        </w:rPr>
        <w:t xml:space="preserve"> </w:t>
      </w:r>
      <w:r w:rsidR="002C3525">
        <w:rPr>
          <w:rFonts w:ascii="Arial" w:hAnsi="Arial" w:cs="Arial"/>
          <w:szCs w:val="24"/>
          <w:lang w:val="hr-HR"/>
        </w:rPr>
        <w:t>e</w:t>
      </w:r>
      <w:r w:rsidR="00712994">
        <w:rPr>
          <w:rFonts w:ascii="Arial" w:hAnsi="Arial" w:cs="Arial"/>
          <w:szCs w:val="24"/>
          <w:lang w:val="hr-HR"/>
        </w:rPr>
        <w:t>ura</w:t>
      </w:r>
      <w:r w:rsidR="002C3525">
        <w:rPr>
          <w:rFonts w:ascii="Arial" w:hAnsi="Arial" w:cs="Arial"/>
          <w:szCs w:val="24"/>
          <w:lang w:val="hr-HR"/>
        </w:rPr>
        <w:t>, odnosno 34,77% planiranih</w:t>
      </w:r>
      <w:r w:rsidR="003B5FA0">
        <w:rPr>
          <w:rFonts w:ascii="Arial" w:hAnsi="Arial" w:cs="Arial"/>
          <w:szCs w:val="24"/>
          <w:lang w:val="hr-HR"/>
        </w:rPr>
        <w:t>, prihodi</w:t>
      </w:r>
      <w:r w:rsidR="00932CFC">
        <w:rPr>
          <w:rFonts w:ascii="Arial" w:hAnsi="Arial" w:cs="Arial"/>
          <w:szCs w:val="24"/>
          <w:lang w:val="hr-HR"/>
        </w:rPr>
        <w:t xml:space="preserve"> od prodaje proizvoda i robe, te pruženih usluga i prihodi od donacija</w:t>
      </w:r>
      <w:r w:rsidR="003B5FA0">
        <w:rPr>
          <w:rFonts w:ascii="Arial" w:hAnsi="Arial" w:cs="Arial"/>
          <w:szCs w:val="24"/>
          <w:lang w:val="hr-HR"/>
        </w:rPr>
        <w:t xml:space="preserve"> u iznosu od </w:t>
      </w:r>
      <w:r w:rsidR="002C3525">
        <w:rPr>
          <w:rFonts w:ascii="Arial" w:hAnsi="Arial" w:cs="Arial"/>
          <w:szCs w:val="24"/>
          <w:lang w:val="hr-HR"/>
        </w:rPr>
        <w:t>12.038,52</w:t>
      </w:r>
      <w:r w:rsidR="00712994">
        <w:rPr>
          <w:rFonts w:ascii="Arial" w:hAnsi="Arial" w:cs="Arial"/>
          <w:szCs w:val="24"/>
          <w:lang w:val="hr-HR"/>
        </w:rPr>
        <w:t xml:space="preserve"> </w:t>
      </w:r>
      <w:r w:rsidR="002C3525">
        <w:rPr>
          <w:rFonts w:ascii="Arial" w:hAnsi="Arial" w:cs="Arial"/>
          <w:szCs w:val="24"/>
          <w:lang w:val="hr-HR"/>
        </w:rPr>
        <w:t>e</w:t>
      </w:r>
      <w:r w:rsidR="00712994">
        <w:rPr>
          <w:rFonts w:ascii="Arial" w:hAnsi="Arial" w:cs="Arial"/>
          <w:szCs w:val="24"/>
          <w:lang w:val="hr-HR"/>
        </w:rPr>
        <w:t>ura</w:t>
      </w:r>
      <w:r w:rsidR="002C3525">
        <w:rPr>
          <w:rFonts w:ascii="Arial" w:hAnsi="Arial" w:cs="Arial"/>
          <w:szCs w:val="24"/>
          <w:lang w:val="hr-HR"/>
        </w:rPr>
        <w:t>, odnosno 7,51% planiranih</w:t>
      </w:r>
      <w:r w:rsidR="006C5939">
        <w:rPr>
          <w:rFonts w:ascii="Arial" w:hAnsi="Arial" w:cs="Arial"/>
          <w:szCs w:val="24"/>
          <w:lang w:val="hr-HR"/>
        </w:rPr>
        <w:t xml:space="preserve"> te kazne i ostali prihodi </w:t>
      </w:r>
      <w:r w:rsidR="002C3525">
        <w:rPr>
          <w:rFonts w:ascii="Arial" w:hAnsi="Arial" w:cs="Arial"/>
          <w:szCs w:val="24"/>
          <w:lang w:val="hr-HR"/>
        </w:rPr>
        <w:t>1.509,33</w:t>
      </w:r>
      <w:r w:rsidR="00712994">
        <w:rPr>
          <w:rFonts w:ascii="Arial" w:hAnsi="Arial" w:cs="Arial"/>
          <w:szCs w:val="24"/>
          <w:lang w:val="hr-HR"/>
        </w:rPr>
        <w:t xml:space="preserve"> </w:t>
      </w:r>
      <w:r w:rsidR="002C3525">
        <w:rPr>
          <w:rFonts w:ascii="Arial" w:hAnsi="Arial" w:cs="Arial"/>
          <w:szCs w:val="24"/>
          <w:lang w:val="hr-HR"/>
        </w:rPr>
        <w:t>e</w:t>
      </w:r>
      <w:r w:rsidR="00712994">
        <w:rPr>
          <w:rFonts w:ascii="Arial" w:hAnsi="Arial" w:cs="Arial"/>
          <w:szCs w:val="24"/>
          <w:lang w:val="hr-HR"/>
        </w:rPr>
        <w:t>ura</w:t>
      </w:r>
      <w:r w:rsidR="002C3525">
        <w:rPr>
          <w:rFonts w:ascii="Arial" w:hAnsi="Arial" w:cs="Arial"/>
          <w:szCs w:val="24"/>
          <w:lang w:val="hr-HR"/>
        </w:rPr>
        <w:t>, odnosno 8,71% planiranih</w:t>
      </w:r>
      <w:r>
        <w:rPr>
          <w:rFonts w:ascii="Arial" w:hAnsi="Arial" w:cs="Arial"/>
          <w:szCs w:val="24"/>
          <w:lang w:val="hr-HR"/>
        </w:rPr>
        <w:t xml:space="preserve">. </w:t>
      </w:r>
    </w:p>
    <w:p w14:paraId="1FA4EE04" w14:textId="77777777" w:rsidR="002C3525" w:rsidRDefault="002C3525" w:rsidP="00034BF9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41A83E2D" w14:textId="12F8644A" w:rsidR="005678FD" w:rsidRPr="00EF6D2D" w:rsidRDefault="00034BF9" w:rsidP="00034BF9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Prihodi od prodaje nefinancijske imovine ostvaruju iznos </w:t>
      </w:r>
      <w:r w:rsidR="004A1E9F">
        <w:rPr>
          <w:rFonts w:ascii="Arial" w:hAnsi="Arial" w:cs="Arial"/>
          <w:szCs w:val="24"/>
          <w:lang w:val="hr-HR"/>
        </w:rPr>
        <w:t xml:space="preserve">od </w:t>
      </w:r>
      <w:r w:rsidR="002C3525">
        <w:rPr>
          <w:rFonts w:ascii="Arial" w:hAnsi="Arial" w:cs="Arial"/>
          <w:szCs w:val="24"/>
          <w:lang w:val="hr-HR"/>
        </w:rPr>
        <w:t>8.418,78</w:t>
      </w:r>
      <w:r w:rsidR="00583A91">
        <w:rPr>
          <w:rFonts w:ascii="Arial" w:hAnsi="Arial" w:cs="Arial"/>
          <w:szCs w:val="24"/>
          <w:lang w:val="hr-HR"/>
        </w:rPr>
        <w:t xml:space="preserve"> </w:t>
      </w:r>
      <w:r w:rsidR="002C3525">
        <w:rPr>
          <w:rFonts w:ascii="Arial" w:hAnsi="Arial" w:cs="Arial"/>
          <w:szCs w:val="24"/>
          <w:lang w:val="hr-HR"/>
        </w:rPr>
        <w:t>e</w:t>
      </w:r>
      <w:r w:rsidR="00583A91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. </w:t>
      </w:r>
      <w:r w:rsidR="00583A91">
        <w:rPr>
          <w:rFonts w:ascii="Arial" w:hAnsi="Arial" w:cs="Arial"/>
          <w:szCs w:val="24"/>
          <w:lang w:val="hr-HR"/>
        </w:rPr>
        <w:t>Gotovo cijeli</w:t>
      </w:r>
      <w:r>
        <w:rPr>
          <w:rFonts w:ascii="Arial" w:hAnsi="Arial" w:cs="Arial"/>
          <w:szCs w:val="24"/>
          <w:lang w:val="hr-HR"/>
        </w:rPr>
        <w:t xml:space="preserve"> iznos</w:t>
      </w:r>
      <w:r w:rsidR="004A1E9F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tih prihoda čine prihodi od prodaje neproizvedene </w:t>
      </w:r>
      <w:r w:rsidR="00583A91">
        <w:rPr>
          <w:rFonts w:ascii="Arial" w:hAnsi="Arial" w:cs="Arial"/>
          <w:szCs w:val="24"/>
          <w:lang w:val="hr-HR"/>
        </w:rPr>
        <w:t xml:space="preserve"> dugotrajne </w:t>
      </w:r>
      <w:r>
        <w:rPr>
          <w:rFonts w:ascii="Arial" w:hAnsi="Arial" w:cs="Arial"/>
          <w:szCs w:val="24"/>
          <w:lang w:val="hr-HR"/>
        </w:rPr>
        <w:t>imovine</w:t>
      </w:r>
      <w:r w:rsidR="00583A91">
        <w:rPr>
          <w:rFonts w:ascii="Arial" w:hAnsi="Arial" w:cs="Arial"/>
          <w:szCs w:val="24"/>
          <w:lang w:val="hr-HR"/>
        </w:rPr>
        <w:t xml:space="preserve">, odnosno od </w:t>
      </w:r>
      <w:r w:rsidR="002C3525">
        <w:rPr>
          <w:rFonts w:ascii="Arial" w:hAnsi="Arial" w:cs="Arial"/>
          <w:szCs w:val="24"/>
          <w:lang w:val="hr-HR"/>
        </w:rPr>
        <w:t>poljoprivrednog</w:t>
      </w:r>
      <w:r w:rsidR="00583A91">
        <w:rPr>
          <w:rFonts w:ascii="Arial" w:hAnsi="Arial" w:cs="Arial"/>
          <w:szCs w:val="24"/>
          <w:lang w:val="hr-HR"/>
        </w:rPr>
        <w:t xml:space="preserve"> zemljišta</w:t>
      </w:r>
      <w:r w:rsidR="009667A4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06B2FF28" w14:textId="77777777" w:rsidR="00F764C6" w:rsidRDefault="00F764C6" w:rsidP="005678FD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</w:p>
    <w:p w14:paraId="6E66206F" w14:textId="29CD4D48" w:rsidR="00034BF9" w:rsidRDefault="005678FD" w:rsidP="005678FD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Rashodi po vrstama u ukupnom iznosu sadrže rashode svih upravnih odjela i službi i rashode njihovih proračunskih korisnika – Dječjeg vrtića "Pinokio" i </w:t>
      </w:r>
      <w:r w:rsidR="002C3525">
        <w:rPr>
          <w:rFonts w:ascii="Arial" w:hAnsi="Arial" w:cs="Arial"/>
          <w:szCs w:val="24"/>
          <w:lang w:val="hr-HR"/>
        </w:rPr>
        <w:t>Gradske</w:t>
      </w:r>
      <w:r>
        <w:rPr>
          <w:rFonts w:ascii="Arial" w:hAnsi="Arial" w:cs="Arial"/>
          <w:szCs w:val="24"/>
          <w:lang w:val="hr-HR"/>
        </w:rPr>
        <w:t xml:space="preserve"> knjižnice Grada Donjeg Miholjca. </w:t>
      </w:r>
    </w:p>
    <w:p w14:paraId="47C16574" w14:textId="77777777" w:rsidR="002C3525" w:rsidRDefault="002C3525" w:rsidP="005678FD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30617929" w14:textId="5F0CB007" w:rsidR="00DE73B0" w:rsidRDefault="00034BF9" w:rsidP="00034BF9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>U okviru rashoda</w:t>
      </w:r>
      <w:r w:rsidR="001E35ED">
        <w:rPr>
          <w:rFonts w:ascii="Arial" w:hAnsi="Arial" w:cs="Arial"/>
          <w:szCs w:val="24"/>
          <w:lang w:val="hr-HR"/>
        </w:rPr>
        <w:t xml:space="preserve"> po ekonomskoj klasifikaciji, rashodi poslovanja</w:t>
      </w:r>
      <w:r>
        <w:rPr>
          <w:rFonts w:ascii="Arial" w:hAnsi="Arial" w:cs="Arial"/>
          <w:szCs w:val="24"/>
          <w:lang w:val="hr-HR"/>
        </w:rPr>
        <w:t xml:space="preserve"> </w:t>
      </w:r>
      <w:r w:rsidR="001E35ED">
        <w:rPr>
          <w:rFonts w:ascii="Arial" w:hAnsi="Arial" w:cs="Arial"/>
          <w:szCs w:val="24"/>
          <w:lang w:val="hr-HR"/>
        </w:rPr>
        <w:t>izvršeni</w:t>
      </w:r>
      <w:r>
        <w:rPr>
          <w:rFonts w:ascii="Arial" w:hAnsi="Arial" w:cs="Arial"/>
          <w:szCs w:val="24"/>
          <w:lang w:val="hr-HR"/>
        </w:rPr>
        <w:t xml:space="preserve"> </w:t>
      </w:r>
      <w:r w:rsidR="00DE73B0">
        <w:rPr>
          <w:rFonts w:ascii="Arial" w:hAnsi="Arial" w:cs="Arial"/>
          <w:szCs w:val="24"/>
          <w:lang w:val="hr-HR"/>
        </w:rPr>
        <w:t xml:space="preserve">su </w:t>
      </w:r>
      <w:r>
        <w:rPr>
          <w:rFonts w:ascii="Arial" w:hAnsi="Arial" w:cs="Arial"/>
          <w:szCs w:val="24"/>
          <w:lang w:val="hr-HR"/>
        </w:rPr>
        <w:t xml:space="preserve">u iznosu od </w:t>
      </w:r>
      <w:r w:rsidR="002C3525">
        <w:rPr>
          <w:rFonts w:ascii="Arial" w:hAnsi="Arial" w:cs="Arial"/>
          <w:szCs w:val="24"/>
          <w:lang w:val="hr-HR"/>
        </w:rPr>
        <w:t>2.587.856,21</w:t>
      </w:r>
      <w:r>
        <w:rPr>
          <w:rFonts w:ascii="Arial" w:hAnsi="Arial" w:cs="Arial"/>
          <w:szCs w:val="24"/>
          <w:lang w:val="hr-HR"/>
        </w:rPr>
        <w:t xml:space="preserve"> </w:t>
      </w:r>
      <w:r w:rsidR="002C3525">
        <w:rPr>
          <w:rFonts w:ascii="Arial" w:hAnsi="Arial" w:cs="Arial"/>
          <w:szCs w:val="24"/>
          <w:lang w:val="hr-HR"/>
        </w:rPr>
        <w:t>e</w:t>
      </w:r>
      <w:r w:rsidR="00043890">
        <w:rPr>
          <w:rFonts w:ascii="Arial" w:hAnsi="Arial" w:cs="Arial"/>
          <w:szCs w:val="24"/>
          <w:lang w:val="hr-HR"/>
        </w:rPr>
        <w:t>ura</w:t>
      </w:r>
      <w:r w:rsidR="001E35ED">
        <w:rPr>
          <w:rFonts w:ascii="Arial" w:hAnsi="Arial" w:cs="Arial"/>
          <w:szCs w:val="24"/>
          <w:lang w:val="hr-HR"/>
        </w:rPr>
        <w:t xml:space="preserve">, u sklopu kojega rashodi za zaposlene iznose </w:t>
      </w:r>
      <w:r w:rsidR="002C3525">
        <w:rPr>
          <w:rFonts w:ascii="Arial" w:hAnsi="Arial" w:cs="Arial"/>
          <w:szCs w:val="24"/>
          <w:lang w:val="hr-HR"/>
        </w:rPr>
        <w:t>1.022.864,44</w:t>
      </w:r>
      <w:r w:rsidR="00043890">
        <w:rPr>
          <w:rFonts w:ascii="Arial" w:hAnsi="Arial" w:cs="Arial"/>
          <w:szCs w:val="24"/>
          <w:lang w:val="hr-HR"/>
        </w:rPr>
        <w:t xml:space="preserve"> </w:t>
      </w:r>
      <w:r w:rsidR="002C3525">
        <w:rPr>
          <w:rFonts w:ascii="Arial" w:hAnsi="Arial" w:cs="Arial"/>
          <w:szCs w:val="24"/>
          <w:lang w:val="hr-HR"/>
        </w:rPr>
        <w:t>e</w:t>
      </w:r>
      <w:r w:rsidR="00043890">
        <w:rPr>
          <w:rFonts w:ascii="Arial" w:hAnsi="Arial" w:cs="Arial"/>
          <w:szCs w:val="24"/>
          <w:lang w:val="hr-HR"/>
        </w:rPr>
        <w:t>ura</w:t>
      </w:r>
      <w:r w:rsidR="00BE7E7A">
        <w:rPr>
          <w:rFonts w:ascii="Arial" w:hAnsi="Arial" w:cs="Arial"/>
          <w:szCs w:val="24"/>
          <w:lang w:val="hr-HR"/>
        </w:rPr>
        <w:t xml:space="preserve"> (43,72% planiranih)</w:t>
      </w:r>
      <w:r w:rsidR="001E35ED">
        <w:rPr>
          <w:rFonts w:ascii="Arial" w:hAnsi="Arial" w:cs="Arial"/>
          <w:szCs w:val="24"/>
          <w:lang w:val="hr-HR"/>
        </w:rPr>
        <w:t>, m</w:t>
      </w:r>
      <w:r>
        <w:rPr>
          <w:rFonts w:ascii="Arial" w:hAnsi="Arial" w:cs="Arial"/>
          <w:szCs w:val="24"/>
          <w:lang w:val="hr-HR"/>
        </w:rPr>
        <w:t xml:space="preserve">aterijalni rashodi čine </w:t>
      </w:r>
      <w:r w:rsidR="002C3525">
        <w:rPr>
          <w:rFonts w:ascii="Arial" w:hAnsi="Arial" w:cs="Arial"/>
          <w:szCs w:val="24"/>
          <w:lang w:val="hr-HR"/>
        </w:rPr>
        <w:t>641.317,28</w:t>
      </w:r>
      <w:r w:rsidR="00043890">
        <w:rPr>
          <w:rFonts w:ascii="Arial" w:hAnsi="Arial" w:cs="Arial"/>
          <w:szCs w:val="24"/>
          <w:lang w:val="hr-HR"/>
        </w:rPr>
        <w:t xml:space="preserve"> </w:t>
      </w:r>
      <w:r w:rsidR="002C3525">
        <w:rPr>
          <w:rFonts w:ascii="Arial" w:hAnsi="Arial" w:cs="Arial"/>
          <w:szCs w:val="24"/>
          <w:lang w:val="hr-HR"/>
        </w:rPr>
        <w:t>e</w:t>
      </w:r>
      <w:r w:rsidR="00043890">
        <w:rPr>
          <w:rFonts w:ascii="Arial" w:hAnsi="Arial" w:cs="Arial"/>
          <w:szCs w:val="24"/>
          <w:lang w:val="hr-HR"/>
        </w:rPr>
        <w:t>ura</w:t>
      </w:r>
      <w:r w:rsidR="00BE7E7A">
        <w:rPr>
          <w:rFonts w:ascii="Arial" w:hAnsi="Arial" w:cs="Arial"/>
          <w:szCs w:val="24"/>
          <w:lang w:val="hr-HR"/>
        </w:rPr>
        <w:t xml:space="preserve"> (28,91% planiranih)</w:t>
      </w:r>
      <w:r w:rsidR="001E35ED">
        <w:rPr>
          <w:rFonts w:ascii="Arial" w:hAnsi="Arial" w:cs="Arial"/>
          <w:szCs w:val="24"/>
          <w:lang w:val="hr-HR"/>
        </w:rPr>
        <w:t>,</w:t>
      </w:r>
      <w:r>
        <w:rPr>
          <w:rFonts w:ascii="Arial" w:hAnsi="Arial" w:cs="Arial"/>
          <w:szCs w:val="24"/>
          <w:lang w:val="hr-HR"/>
        </w:rPr>
        <w:t xml:space="preserve"> od toga je najveća stavka na rashodima za usluge</w:t>
      </w:r>
      <w:r w:rsidR="00DE73B0">
        <w:rPr>
          <w:rFonts w:ascii="Arial" w:hAnsi="Arial" w:cs="Arial"/>
          <w:szCs w:val="24"/>
          <w:lang w:val="hr-HR"/>
        </w:rPr>
        <w:t xml:space="preserve"> u iznosu od 354.679,60 eura</w:t>
      </w:r>
      <w:r>
        <w:rPr>
          <w:rFonts w:ascii="Arial" w:hAnsi="Arial" w:cs="Arial"/>
          <w:szCs w:val="24"/>
          <w:lang w:val="hr-HR"/>
        </w:rPr>
        <w:t>.</w:t>
      </w:r>
      <w:r w:rsidRPr="003C246D">
        <w:rPr>
          <w:rFonts w:ascii="Arial" w:hAnsi="Arial" w:cs="Arial"/>
          <w:szCs w:val="24"/>
          <w:lang w:val="hr-HR"/>
        </w:rPr>
        <w:t xml:space="preserve"> </w:t>
      </w:r>
    </w:p>
    <w:p w14:paraId="7FA461A9" w14:textId="5931C005" w:rsidR="00DE73B0" w:rsidRDefault="00034BF9" w:rsidP="00DE73B0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Financijske rashode u iznosu od </w:t>
      </w:r>
      <w:r w:rsidR="00DE73B0">
        <w:rPr>
          <w:rFonts w:ascii="Arial" w:hAnsi="Arial" w:cs="Arial"/>
          <w:szCs w:val="24"/>
          <w:lang w:val="hr-HR"/>
        </w:rPr>
        <w:t>6.614,72</w:t>
      </w:r>
      <w:r w:rsidR="00043890">
        <w:rPr>
          <w:rFonts w:ascii="Arial" w:hAnsi="Arial" w:cs="Arial"/>
          <w:szCs w:val="24"/>
          <w:lang w:val="hr-HR"/>
        </w:rPr>
        <w:t xml:space="preserve"> </w:t>
      </w:r>
      <w:r w:rsidR="00DE73B0">
        <w:rPr>
          <w:rFonts w:ascii="Arial" w:hAnsi="Arial" w:cs="Arial"/>
          <w:szCs w:val="24"/>
          <w:lang w:val="hr-HR"/>
        </w:rPr>
        <w:t>e</w:t>
      </w:r>
      <w:r w:rsidR="00043890">
        <w:rPr>
          <w:rFonts w:ascii="Arial" w:hAnsi="Arial" w:cs="Arial"/>
          <w:szCs w:val="24"/>
          <w:lang w:val="hr-HR"/>
        </w:rPr>
        <w:t>ura</w:t>
      </w:r>
      <w:r w:rsidR="00BE7E7A">
        <w:rPr>
          <w:rFonts w:ascii="Arial" w:hAnsi="Arial" w:cs="Arial"/>
          <w:szCs w:val="24"/>
          <w:lang w:val="hr-HR"/>
        </w:rPr>
        <w:t xml:space="preserve"> (30,90% planiranih)</w:t>
      </w:r>
      <w:r>
        <w:rPr>
          <w:rFonts w:ascii="Arial" w:hAnsi="Arial" w:cs="Arial"/>
          <w:szCs w:val="24"/>
          <w:lang w:val="hr-HR"/>
        </w:rPr>
        <w:t xml:space="preserve"> čine usluge platnog prometa i ostali financijski rashodi. </w:t>
      </w:r>
    </w:p>
    <w:p w14:paraId="147D85D8" w14:textId="74D6395E" w:rsidR="00DE73B0" w:rsidRDefault="00034BF9" w:rsidP="00DE73B0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Subvencije  iznose </w:t>
      </w:r>
      <w:r w:rsidR="00DE73B0">
        <w:rPr>
          <w:rFonts w:ascii="Arial" w:hAnsi="Arial" w:cs="Arial"/>
          <w:szCs w:val="24"/>
          <w:lang w:val="hr-HR"/>
        </w:rPr>
        <w:t>30.692,76</w:t>
      </w:r>
      <w:r w:rsidR="00BE7E7A">
        <w:rPr>
          <w:rFonts w:ascii="Arial" w:hAnsi="Arial" w:cs="Arial"/>
          <w:szCs w:val="24"/>
          <w:lang w:val="hr-HR"/>
        </w:rPr>
        <w:t xml:space="preserve"> eura</w:t>
      </w:r>
      <w:r w:rsidR="00043890">
        <w:rPr>
          <w:rFonts w:ascii="Arial" w:hAnsi="Arial" w:cs="Arial"/>
          <w:szCs w:val="24"/>
          <w:lang w:val="hr-HR"/>
        </w:rPr>
        <w:t xml:space="preserve"> </w:t>
      </w:r>
      <w:r w:rsidR="00BE7E7A">
        <w:rPr>
          <w:rFonts w:ascii="Arial" w:hAnsi="Arial" w:cs="Arial"/>
          <w:szCs w:val="24"/>
          <w:lang w:val="hr-HR"/>
        </w:rPr>
        <w:t>(8,40% planiranih)</w:t>
      </w:r>
      <w:r>
        <w:rPr>
          <w:rFonts w:ascii="Arial" w:hAnsi="Arial" w:cs="Arial"/>
          <w:szCs w:val="24"/>
          <w:lang w:val="hr-HR"/>
        </w:rPr>
        <w:t xml:space="preserve">, a odnose se na </w:t>
      </w:r>
      <w:r w:rsidR="004F57EC">
        <w:rPr>
          <w:rFonts w:ascii="Arial" w:hAnsi="Arial" w:cs="Arial"/>
          <w:szCs w:val="24"/>
          <w:lang w:val="hr-HR"/>
        </w:rPr>
        <w:t>trgovačka društva u javnom sektoru</w:t>
      </w:r>
      <w:r w:rsidR="00E71766">
        <w:rPr>
          <w:rFonts w:ascii="Arial" w:hAnsi="Arial" w:cs="Arial"/>
          <w:szCs w:val="24"/>
          <w:lang w:val="hr-HR"/>
        </w:rPr>
        <w:t xml:space="preserve"> i subvencije </w:t>
      </w:r>
      <w:r w:rsidR="005735CF">
        <w:rPr>
          <w:rFonts w:ascii="Arial" w:hAnsi="Arial" w:cs="Arial"/>
          <w:szCs w:val="24"/>
          <w:lang w:val="hr-HR"/>
        </w:rPr>
        <w:t xml:space="preserve">poljoprivrednicima i </w:t>
      </w:r>
      <w:r w:rsidR="00E71766">
        <w:rPr>
          <w:rFonts w:ascii="Arial" w:hAnsi="Arial" w:cs="Arial"/>
          <w:szCs w:val="24"/>
          <w:lang w:val="hr-HR"/>
        </w:rPr>
        <w:t>obrtnicima</w:t>
      </w:r>
      <w:r>
        <w:rPr>
          <w:rFonts w:ascii="Arial" w:hAnsi="Arial" w:cs="Arial"/>
          <w:szCs w:val="24"/>
          <w:lang w:val="hr-HR"/>
        </w:rPr>
        <w:t>.</w:t>
      </w:r>
      <w:r w:rsidR="006C5939">
        <w:rPr>
          <w:rFonts w:ascii="Arial" w:hAnsi="Arial" w:cs="Arial"/>
          <w:szCs w:val="24"/>
          <w:lang w:val="hr-HR"/>
        </w:rPr>
        <w:t xml:space="preserve"> </w:t>
      </w:r>
    </w:p>
    <w:p w14:paraId="32F7B19E" w14:textId="3B7FB61F" w:rsidR="00DE73B0" w:rsidRDefault="001E35ED" w:rsidP="00DE73B0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Naknade građanima i kućanstvima iznose </w:t>
      </w:r>
      <w:r w:rsidR="00DE73B0">
        <w:rPr>
          <w:rFonts w:ascii="Arial" w:hAnsi="Arial" w:cs="Arial"/>
          <w:szCs w:val="24"/>
          <w:lang w:val="hr-HR"/>
        </w:rPr>
        <w:t>83.438,03</w:t>
      </w:r>
      <w:r w:rsidR="00BE7E7A">
        <w:rPr>
          <w:rFonts w:ascii="Arial" w:hAnsi="Arial" w:cs="Arial"/>
          <w:szCs w:val="24"/>
          <w:lang w:val="hr-HR"/>
        </w:rPr>
        <w:t xml:space="preserve"> </w:t>
      </w:r>
      <w:r w:rsidR="00DE73B0">
        <w:rPr>
          <w:rFonts w:ascii="Arial" w:hAnsi="Arial" w:cs="Arial"/>
          <w:szCs w:val="24"/>
          <w:lang w:val="hr-HR"/>
        </w:rPr>
        <w:t>e</w:t>
      </w:r>
      <w:r w:rsidR="00043890">
        <w:rPr>
          <w:rFonts w:ascii="Arial" w:hAnsi="Arial" w:cs="Arial"/>
          <w:szCs w:val="24"/>
          <w:lang w:val="hr-HR"/>
        </w:rPr>
        <w:t>ura</w:t>
      </w:r>
      <w:r w:rsidR="00BE7E7A">
        <w:rPr>
          <w:rFonts w:ascii="Arial" w:hAnsi="Arial" w:cs="Arial"/>
          <w:szCs w:val="24"/>
          <w:lang w:val="hr-HR"/>
        </w:rPr>
        <w:t xml:space="preserve"> (27,21% planiranih)</w:t>
      </w:r>
      <w:r>
        <w:rPr>
          <w:rFonts w:ascii="Arial" w:hAnsi="Arial" w:cs="Arial"/>
          <w:szCs w:val="24"/>
          <w:lang w:val="hr-HR"/>
        </w:rPr>
        <w:t>.</w:t>
      </w:r>
      <w:r w:rsidR="00034BF9">
        <w:rPr>
          <w:rFonts w:ascii="Arial" w:hAnsi="Arial" w:cs="Arial"/>
          <w:szCs w:val="24"/>
          <w:lang w:val="hr-HR"/>
        </w:rPr>
        <w:t xml:space="preserve"> </w:t>
      </w:r>
    </w:p>
    <w:p w14:paraId="1847BEBE" w14:textId="74B0E193" w:rsidR="000B38D7" w:rsidRPr="00D4295D" w:rsidRDefault="00034BF9" w:rsidP="00DE73B0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D4295D">
        <w:rPr>
          <w:rFonts w:ascii="Arial" w:hAnsi="Arial" w:cs="Arial"/>
          <w:szCs w:val="24"/>
          <w:lang w:val="hr-HR"/>
        </w:rPr>
        <w:t xml:space="preserve">Ostali rashodi u iznosu od </w:t>
      </w:r>
      <w:r w:rsidR="00DE73B0" w:rsidRPr="00D4295D">
        <w:rPr>
          <w:rFonts w:ascii="Arial" w:hAnsi="Arial" w:cs="Arial"/>
          <w:szCs w:val="24"/>
          <w:lang w:val="hr-HR"/>
        </w:rPr>
        <w:t>802.928,98</w:t>
      </w:r>
      <w:r w:rsidR="00043890" w:rsidRPr="00D4295D">
        <w:rPr>
          <w:rFonts w:ascii="Arial" w:hAnsi="Arial" w:cs="Arial"/>
          <w:szCs w:val="24"/>
          <w:lang w:val="hr-HR"/>
        </w:rPr>
        <w:t xml:space="preserve"> </w:t>
      </w:r>
      <w:r w:rsidR="00DE73B0" w:rsidRPr="00D4295D">
        <w:rPr>
          <w:rFonts w:ascii="Arial" w:hAnsi="Arial" w:cs="Arial"/>
          <w:szCs w:val="24"/>
          <w:lang w:val="hr-HR"/>
        </w:rPr>
        <w:t>e</w:t>
      </w:r>
      <w:r w:rsidR="00043890" w:rsidRPr="00D4295D">
        <w:rPr>
          <w:rFonts w:ascii="Arial" w:hAnsi="Arial" w:cs="Arial"/>
          <w:szCs w:val="24"/>
          <w:lang w:val="hr-HR"/>
        </w:rPr>
        <w:t>ura</w:t>
      </w:r>
      <w:r w:rsidR="00DE73B0" w:rsidRPr="00D4295D">
        <w:rPr>
          <w:rFonts w:ascii="Arial" w:hAnsi="Arial" w:cs="Arial"/>
          <w:szCs w:val="24"/>
          <w:lang w:val="hr-HR"/>
        </w:rPr>
        <w:t xml:space="preserve"> </w:t>
      </w:r>
      <w:r w:rsidR="00BE7E7A">
        <w:rPr>
          <w:rFonts w:ascii="Arial" w:hAnsi="Arial" w:cs="Arial"/>
          <w:szCs w:val="24"/>
          <w:lang w:val="hr-HR"/>
        </w:rPr>
        <w:t xml:space="preserve">(44,57% planiranih) </w:t>
      </w:r>
      <w:r w:rsidRPr="00D4295D">
        <w:rPr>
          <w:rFonts w:ascii="Arial" w:hAnsi="Arial" w:cs="Arial"/>
          <w:szCs w:val="24"/>
          <w:lang w:val="hr-HR"/>
        </w:rPr>
        <w:t>odnose se na tekuće</w:t>
      </w:r>
      <w:r w:rsidR="00D4295D" w:rsidRPr="00D4295D">
        <w:rPr>
          <w:rFonts w:ascii="Arial" w:hAnsi="Arial" w:cs="Arial"/>
          <w:szCs w:val="24"/>
          <w:lang w:val="hr-HR"/>
        </w:rPr>
        <w:t xml:space="preserve"> i kapitalne d</w:t>
      </w:r>
      <w:r w:rsidRPr="00D4295D">
        <w:rPr>
          <w:rFonts w:ascii="Arial" w:hAnsi="Arial" w:cs="Arial"/>
          <w:szCs w:val="24"/>
          <w:lang w:val="hr-HR"/>
        </w:rPr>
        <w:t xml:space="preserve">onacije </w:t>
      </w:r>
      <w:r w:rsidR="000B38D7" w:rsidRPr="00D4295D">
        <w:rPr>
          <w:rFonts w:ascii="Arial" w:hAnsi="Arial" w:cs="Arial"/>
          <w:szCs w:val="24"/>
          <w:lang w:val="hr-HR"/>
        </w:rPr>
        <w:t>vjerskim zajednicama, udrugama građana, sportskim društvima i humanitarnim organizacijama</w:t>
      </w:r>
      <w:r w:rsidR="00D4295D" w:rsidRPr="00D4295D">
        <w:rPr>
          <w:rFonts w:ascii="Arial" w:hAnsi="Arial" w:cs="Arial"/>
          <w:szCs w:val="24"/>
          <w:lang w:val="hr-HR"/>
        </w:rPr>
        <w:t>.</w:t>
      </w:r>
    </w:p>
    <w:p w14:paraId="0F124D81" w14:textId="77777777" w:rsidR="00DE73B0" w:rsidRDefault="00DE73B0" w:rsidP="00D4295D">
      <w:pPr>
        <w:jc w:val="both"/>
        <w:rPr>
          <w:rFonts w:ascii="Arial" w:hAnsi="Arial" w:cs="Arial"/>
          <w:szCs w:val="24"/>
          <w:lang w:val="hr-HR"/>
        </w:rPr>
      </w:pPr>
    </w:p>
    <w:p w14:paraId="4A5C1948" w14:textId="68449A84" w:rsidR="00034BF9" w:rsidRDefault="00034BF9" w:rsidP="00034BF9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U strukturi rashoda za nabavku nefinancijske imovine je iznos od </w:t>
      </w:r>
      <w:r w:rsidR="00D4295D">
        <w:rPr>
          <w:rFonts w:ascii="Arial" w:hAnsi="Arial" w:cs="Arial"/>
          <w:szCs w:val="24"/>
          <w:lang w:val="hr-HR"/>
        </w:rPr>
        <w:t>2.479.369,43</w:t>
      </w:r>
      <w:r w:rsidR="00043890">
        <w:rPr>
          <w:rFonts w:ascii="Arial" w:hAnsi="Arial" w:cs="Arial"/>
          <w:szCs w:val="24"/>
          <w:lang w:val="hr-HR"/>
        </w:rPr>
        <w:t xml:space="preserve"> </w:t>
      </w:r>
      <w:r w:rsidR="00D4295D">
        <w:rPr>
          <w:rFonts w:ascii="Arial" w:hAnsi="Arial" w:cs="Arial"/>
          <w:szCs w:val="24"/>
          <w:lang w:val="hr-HR"/>
        </w:rPr>
        <w:t>e</w:t>
      </w:r>
      <w:r w:rsidR="00043890">
        <w:rPr>
          <w:rFonts w:ascii="Arial" w:hAnsi="Arial" w:cs="Arial"/>
          <w:szCs w:val="24"/>
          <w:lang w:val="hr-HR"/>
        </w:rPr>
        <w:t>ur</w:t>
      </w:r>
      <w:r w:rsidR="005735CF">
        <w:rPr>
          <w:rFonts w:ascii="Arial" w:hAnsi="Arial" w:cs="Arial"/>
          <w:szCs w:val="24"/>
          <w:lang w:val="hr-HR"/>
        </w:rPr>
        <w:t>a</w:t>
      </w:r>
      <w:r w:rsidR="00BE7E7A">
        <w:rPr>
          <w:rFonts w:ascii="Arial" w:hAnsi="Arial" w:cs="Arial"/>
          <w:szCs w:val="24"/>
          <w:lang w:val="hr-HR"/>
        </w:rPr>
        <w:t xml:space="preserve"> (36% planiranih)</w:t>
      </w:r>
      <w:r w:rsidR="00E71766">
        <w:rPr>
          <w:rFonts w:ascii="Arial" w:hAnsi="Arial" w:cs="Arial"/>
          <w:szCs w:val="24"/>
          <w:lang w:val="hr-HR"/>
        </w:rPr>
        <w:t xml:space="preserve">, a </w:t>
      </w:r>
      <w:r>
        <w:rPr>
          <w:rFonts w:ascii="Arial" w:hAnsi="Arial" w:cs="Arial"/>
          <w:szCs w:val="24"/>
          <w:lang w:val="hr-HR"/>
        </w:rPr>
        <w:t xml:space="preserve">odnose </w:t>
      </w:r>
      <w:r w:rsidR="00E71766">
        <w:rPr>
          <w:rFonts w:ascii="Arial" w:hAnsi="Arial" w:cs="Arial"/>
          <w:szCs w:val="24"/>
          <w:lang w:val="hr-HR"/>
        </w:rPr>
        <w:t>se</w:t>
      </w:r>
      <w:r w:rsidR="00043890">
        <w:rPr>
          <w:rFonts w:ascii="Arial" w:hAnsi="Arial" w:cs="Arial"/>
          <w:szCs w:val="24"/>
          <w:lang w:val="hr-HR"/>
        </w:rPr>
        <w:t xml:space="preserve"> na </w:t>
      </w:r>
      <w:r w:rsidR="005735CF">
        <w:rPr>
          <w:rFonts w:ascii="Arial" w:hAnsi="Arial" w:cs="Arial"/>
          <w:szCs w:val="24"/>
          <w:lang w:val="hr-HR"/>
        </w:rPr>
        <w:t>rashode za nabavu neproizvedene imovine, na rashode za nabavu proizvedene dugotrajne imovine te na rashode za dodatna ulaganja na nefinancijskoj imovini</w:t>
      </w:r>
      <w:r w:rsidR="00D4295D">
        <w:rPr>
          <w:rFonts w:ascii="Arial" w:hAnsi="Arial" w:cs="Arial"/>
          <w:szCs w:val="24"/>
          <w:lang w:val="hr-HR"/>
        </w:rPr>
        <w:t xml:space="preserve">. </w:t>
      </w:r>
      <w:r w:rsidR="001B47E0">
        <w:rPr>
          <w:rFonts w:ascii="Arial" w:hAnsi="Arial" w:cs="Arial"/>
          <w:szCs w:val="24"/>
          <w:lang w:val="hr-HR"/>
        </w:rPr>
        <w:t xml:space="preserve">Najveći iznos odnosi se na rashode za nabavu proizvedene dugotrajne imovine </w:t>
      </w:r>
      <w:r w:rsidR="00470CE0">
        <w:rPr>
          <w:rFonts w:ascii="Arial" w:hAnsi="Arial" w:cs="Arial"/>
          <w:szCs w:val="24"/>
          <w:lang w:val="hr-HR"/>
        </w:rPr>
        <w:t>– poslovni objekti u iznosu od 1.115.431,26 eura (izgradnja dječjeg vrtića u Rakitovici, rekonstrukcija i dogradnja gradske tržnice i sanacija društvenih domova)</w:t>
      </w:r>
      <w:r w:rsidR="00F23D31">
        <w:rPr>
          <w:rFonts w:ascii="Arial" w:hAnsi="Arial" w:cs="Arial"/>
          <w:szCs w:val="24"/>
          <w:lang w:val="hr-HR"/>
        </w:rPr>
        <w:t>.</w:t>
      </w:r>
    </w:p>
    <w:p w14:paraId="291AC8F8" w14:textId="2BC7E0B1" w:rsidR="001F7029" w:rsidRDefault="00E317D0" w:rsidP="00034BF9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14:paraId="5BDBB134" w14:textId="77777777" w:rsidR="005735CF" w:rsidRDefault="005735CF" w:rsidP="00034BF9">
      <w:pPr>
        <w:jc w:val="both"/>
        <w:rPr>
          <w:rFonts w:ascii="Arial" w:hAnsi="Arial" w:cs="Arial"/>
          <w:szCs w:val="24"/>
          <w:lang w:val="hr-HR"/>
        </w:rPr>
      </w:pPr>
    </w:p>
    <w:p w14:paraId="169F668B" w14:textId="77777777" w:rsidR="009F5ACD" w:rsidRDefault="009F5ACD" w:rsidP="00034BF9">
      <w:pPr>
        <w:jc w:val="both"/>
        <w:rPr>
          <w:rFonts w:ascii="Arial" w:hAnsi="Arial" w:cs="Arial"/>
          <w:szCs w:val="24"/>
          <w:lang w:val="hr-HR"/>
        </w:rPr>
      </w:pPr>
    </w:p>
    <w:p w14:paraId="2908831D" w14:textId="77777777" w:rsidR="008A069D" w:rsidRDefault="008A069D" w:rsidP="008A069D">
      <w:pPr>
        <w:ind w:firstLine="720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2</w:t>
      </w:r>
      <w:r w:rsidRPr="000E55B0">
        <w:rPr>
          <w:rFonts w:ascii="Arial" w:hAnsi="Arial" w:cs="Arial"/>
          <w:b/>
          <w:szCs w:val="24"/>
          <w:lang w:val="hr-HR"/>
        </w:rPr>
        <w:t>.</w:t>
      </w:r>
      <w:r>
        <w:rPr>
          <w:rFonts w:ascii="Arial" w:hAnsi="Arial" w:cs="Arial"/>
          <w:b/>
          <w:szCs w:val="24"/>
          <w:lang w:val="hr-HR"/>
        </w:rPr>
        <w:t>2</w:t>
      </w:r>
      <w:r w:rsidRPr="000E55B0">
        <w:rPr>
          <w:rFonts w:ascii="Arial" w:hAnsi="Arial" w:cs="Arial"/>
          <w:b/>
          <w:szCs w:val="24"/>
          <w:lang w:val="hr-HR"/>
        </w:rPr>
        <w:t>.</w:t>
      </w:r>
      <w:r>
        <w:rPr>
          <w:rFonts w:ascii="Arial" w:hAnsi="Arial" w:cs="Arial"/>
          <w:b/>
          <w:szCs w:val="24"/>
          <w:lang w:val="hr-HR"/>
        </w:rPr>
        <w:t xml:space="preserve"> Obrazloženje ostvarenja prihoda i primitaka, rashoda i izdataka </w:t>
      </w:r>
    </w:p>
    <w:p w14:paraId="469AAA6E" w14:textId="77777777" w:rsidR="008A069D" w:rsidRPr="000E55B0" w:rsidRDefault="008A069D" w:rsidP="008A069D">
      <w:pPr>
        <w:ind w:firstLine="720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po organizacijskoj i programskoj klasifikaciji</w:t>
      </w:r>
    </w:p>
    <w:p w14:paraId="36890EF6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430FB468" w14:textId="77777777" w:rsidR="008A069D" w:rsidRDefault="008A069D" w:rsidP="008A069D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</w:t>
      </w:r>
    </w:p>
    <w:p w14:paraId="4C88C6BB" w14:textId="77777777" w:rsidR="008A069D" w:rsidRDefault="008A069D" w:rsidP="008A069D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2</w:t>
      </w:r>
      <w:r w:rsidRPr="00D91C0E">
        <w:rPr>
          <w:rFonts w:ascii="Arial" w:hAnsi="Arial" w:cs="Arial"/>
          <w:b/>
          <w:szCs w:val="24"/>
          <w:lang w:val="hr-HR"/>
        </w:rPr>
        <w:t>.</w:t>
      </w:r>
      <w:r>
        <w:rPr>
          <w:rFonts w:ascii="Arial" w:hAnsi="Arial" w:cs="Arial"/>
          <w:b/>
          <w:szCs w:val="24"/>
          <w:lang w:val="hr-HR"/>
        </w:rPr>
        <w:t>2</w:t>
      </w:r>
      <w:r w:rsidRPr="00D91C0E">
        <w:rPr>
          <w:rFonts w:ascii="Arial" w:hAnsi="Arial" w:cs="Arial"/>
          <w:b/>
          <w:szCs w:val="24"/>
          <w:lang w:val="hr-HR"/>
        </w:rPr>
        <w:t>.1. Predstavnička i izvršna tijela grada i mjesne samouprave</w:t>
      </w:r>
    </w:p>
    <w:p w14:paraId="363CE2AE" w14:textId="77777777" w:rsidR="008A069D" w:rsidRPr="00D91C0E" w:rsidRDefault="008A069D" w:rsidP="008A069D">
      <w:pPr>
        <w:jc w:val="both"/>
        <w:rPr>
          <w:rFonts w:ascii="Arial" w:hAnsi="Arial" w:cs="Arial"/>
          <w:b/>
          <w:szCs w:val="24"/>
          <w:lang w:val="hr-HR"/>
        </w:rPr>
      </w:pPr>
    </w:p>
    <w:p w14:paraId="58D0F285" w14:textId="77777777" w:rsidR="008A069D" w:rsidRPr="00AB7DB8" w:rsidRDefault="008A069D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AB7DB8">
        <w:rPr>
          <w:rFonts w:ascii="Arial" w:hAnsi="Arial" w:cs="Arial"/>
          <w:b/>
          <w:bCs/>
          <w:szCs w:val="24"/>
          <w:lang w:val="hr-HR"/>
        </w:rPr>
        <w:t>2.3.1.1. Gradsko vijeće, gradonačelnik i odbori</w:t>
      </w:r>
    </w:p>
    <w:p w14:paraId="6A1BCBA1" w14:textId="77777777" w:rsidR="00AB7DB8" w:rsidRDefault="00AB7DB8" w:rsidP="008A069D">
      <w:pPr>
        <w:jc w:val="both"/>
        <w:rPr>
          <w:rFonts w:ascii="Arial" w:hAnsi="Arial" w:cs="Arial"/>
          <w:b/>
          <w:bCs/>
          <w:szCs w:val="24"/>
          <w:u w:val="single"/>
          <w:lang w:val="hr-HR"/>
        </w:rPr>
      </w:pPr>
    </w:p>
    <w:p w14:paraId="38309667" w14:textId="3F0FEE8F" w:rsidR="00A71AF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AB7DB8">
        <w:rPr>
          <w:rFonts w:ascii="Arial" w:hAnsi="Arial" w:cs="Arial"/>
          <w:b/>
          <w:bCs/>
          <w:szCs w:val="24"/>
          <w:u w:val="single"/>
          <w:lang w:val="hr-HR"/>
        </w:rPr>
        <w:t>Program 1001 – Aktivnosti izvršnih i predstavničkih tijela</w:t>
      </w:r>
      <w:r>
        <w:rPr>
          <w:rFonts w:ascii="Arial" w:hAnsi="Arial" w:cs="Arial"/>
          <w:szCs w:val="24"/>
          <w:lang w:val="hr-HR"/>
        </w:rPr>
        <w:t xml:space="preserve"> – planirano je </w:t>
      </w:r>
      <w:r w:rsidR="00A71AFD">
        <w:rPr>
          <w:rFonts w:ascii="Arial" w:hAnsi="Arial" w:cs="Arial"/>
          <w:szCs w:val="24"/>
          <w:lang w:val="hr-HR"/>
        </w:rPr>
        <w:t>367.100,00</w:t>
      </w:r>
      <w:r>
        <w:rPr>
          <w:rFonts w:ascii="Arial" w:hAnsi="Arial" w:cs="Arial"/>
          <w:szCs w:val="24"/>
          <w:lang w:val="hr-HR"/>
        </w:rPr>
        <w:t xml:space="preserve"> </w:t>
      </w:r>
      <w:r w:rsidR="00A71AF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a </w:t>
      </w:r>
      <w:r w:rsidR="00553308">
        <w:rPr>
          <w:rFonts w:ascii="Arial" w:hAnsi="Arial" w:cs="Arial"/>
          <w:szCs w:val="24"/>
          <w:lang w:val="hr-HR"/>
        </w:rPr>
        <w:t>po</w:t>
      </w:r>
      <w:r>
        <w:rPr>
          <w:rFonts w:ascii="Arial" w:hAnsi="Arial" w:cs="Arial"/>
          <w:szCs w:val="24"/>
          <w:lang w:val="hr-HR"/>
        </w:rPr>
        <w:t xml:space="preserve">trošeno </w:t>
      </w:r>
      <w:r w:rsidR="00A71AFD">
        <w:rPr>
          <w:rFonts w:ascii="Arial" w:hAnsi="Arial" w:cs="Arial"/>
          <w:szCs w:val="24"/>
          <w:lang w:val="hr-HR"/>
        </w:rPr>
        <w:t>147.197,49</w:t>
      </w:r>
      <w:r>
        <w:rPr>
          <w:rFonts w:ascii="Arial" w:hAnsi="Arial" w:cs="Arial"/>
          <w:szCs w:val="24"/>
          <w:lang w:val="hr-HR"/>
        </w:rPr>
        <w:t xml:space="preserve"> </w:t>
      </w:r>
      <w:r w:rsidR="00A71AF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71AFD">
        <w:rPr>
          <w:rFonts w:ascii="Arial" w:hAnsi="Arial" w:cs="Arial"/>
          <w:szCs w:val="24"/>
          <w:lang w:val="hr-HR"/>
        </w:rPr>
        <w:t xml:space="preserve"> (40,10%)</w:t>
      </w:r>
      <w:r>
        <w:rPr>
          <w:rFonts w:ascii="Arial" w:hAnsi="Arial" w:cs="Arial"/>
          <w:szCs w:val="24"/>
          <w:lang w:val="hr-HR"/>
        </w:rPr>
        <w:t xml:space="preserve">, a odnosi se na aktivnosti za  redovno poslovanje (utrošeno </w:t>
      </w:r>
      <w:r w:rsidR="00A71AFD">
        <w:rPr>
          <w:rFonts w:ascii="Arial" w:hAnsi="Arial" w:cs="Arial"/>
          <w:szCs w:val="24"/>
          <w:lang w:val="hr-HR"/>
        </w:rPr>
        <w:t>47.170,63</w:t>
      </w:r>
      <w:r>
        <w:rPr>
          <w:rFonts w:ascii="Arial" w:hAnsi="Arial" w:cs="Arial"/>
          <w:szCs w:val="24"/>
          <w:lang w:val="hr-HR"/>
        </w:rPr>
        <w:t xml:space="preserve"> </w:t>
      </w:r>
      <w:r w:rsidR="00A71AF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ura) u okviru čega su naknade za rad predstavničkih tijela, lokalni izbori, političke stranke i ostali materijalni troškovi; dužnosnici gdje je potrošeno </w:t>
      </w:r>
      <w:r w:rsidR="00A71AFD">
        <w:rPr>
          <w:rFonts w:ascii="Arial" w:hAnsi="Arial" w:cs="Arial"/>
          <w:szCs w:val="24"/>
          <w:lang w:val="hr-HR"/>
        </w:rPr>
        <w:t>53.576,54</w:t>
      </w:r>
      <w:r>
        <w:rPr>
          <w:rFonts w:ascii="Arial" w:hAnsi="Arial" w:cs="Arial"/>
          <w:szCs w:val="24"/>
          <w:lang w:val="hr-HR"/>
        </w:rPr>
        <w:t xml:space="preserve"> </w:t>
      </w:r>
      <w:r w:rsidR="00A71AF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 </w:t>
      </w:r>
      <w:r w:rsidR="0091025F">
        <w:rPr>
          <w:rFonts w:ascii="Arial" w:hAnsi="Arial" w:cs="Arial"/>
          <w:szCs w:val="24"/>
          <w:lang w:val="hr-HR"/>
        </w:rPr>
        <w:t xml:space="preserve">(44,31%) </w:t>
      </w:r>
      <w:r>
        <w:rPr>
          <w:rFonts w:ascii="Arial" w:hAnsi="Arial" w:cs="Arial"/>
          <w:szCs w:val="24"/>
          <w:lang w:val="hr-HR"/>
        </w:rPr>
        <w:t>na rashode za zaposlene (</w:t>
      </w:r>
      <w:r w:rsidR="00A71AFD">
        <w:rPr>
          <w:rFonts w:ascii="Arial" w:hAnsi="Arial" w:cs="Arial"/>
          <w:szCs w:val="24"/>
          <w:lang w:val="hr-HR"/>
        </w:rPr>
        <w:t>40.149,30 e</w:t>
      </w:r>
      <w:r>
        <w:rPr>
          <w:rFonts w:ascii="Arial" w:hAnsi="Arial" w:cs="Arial"/>
          <w:szCs w:val="24"/>
          <w:lang w:val="hr-HR"/>
        </w:rPr>
        <w:t>ura</w:t>
      </w:r>
      <w:r w:rsidR="00A71AFD">
        <w:rPr>
          <w:rFonts w:ascii="Arial" w:hAnsi="Arial" w:cs="Arial"/>
          <w:szCs w:val="24"/>
          <w:lang w:val="hr-HR"/>
        </w:rPr>
        <w:t>) i materijalne rashode (13.427,24 eura)</w:t>
      </w:r>
      <w:r>
        <w:rPr>
          <w:rFonts w:ascii="Arial" w:hAnsi="Arial" w:cs="Arial"/>
          <w:szCs w:val="24"/>
          <w:lang w:val="hr-HR"/>
        </w:rPr>
        <w:t xml:space="preserve">. </w:t>
      </w:r>
    </w:p>
    <w:p w14:paraId="62F4B2D4" w14:textId="087FC464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lastRenderedPageBreak/>
        <w:t>Gradske svečanosti, pokroviteljstva i sponzorstva koja se odnose</w:t>
      </w:r>
      <w:r w:rsidR="00553308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na sufinanciranje udruga koje su tijekom godine organizatori različitih manifestacija u Gradu i od interesa za Grad za koje su planirana sredstva u iznosu </w:t>
      </w:r>
      <w:r w:rsidR="002A0C38">
        <w:rPr>
          <w:rFonts w:ascii="Arial" w:hAnsi="Arial" w:cs="Arial"/>
          <w:szCs w:val="24"/>
          <w:lang w:val="hr-HR"/>
        </w:rPr>
        <w:t>1</w:t>
      </w:r>
      <w:r w:rsidR="00A71AFD">
        <w:rPr>
          <w:rFonts w:ascii="Arial" w:hAnsi="Arial" w:cs="Arial"/>
          <w:szCs w:val="24"/>
          <w:lang w:val="hr-HR"/>
        </w:rPr>
        <w:t>61</w:t>
      </w:r>
      <w:r w:rsidR="002A0C38">
        <w:rPr>
          <w:rFonts w:ascii="Arial" w:hAnsi="Arial" w:cs="Arial"/>
          <w:szCs w:val="24"/>
          <w:lang w:val="hr-HR"/>
        </w:rPr>
        <w:t>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A71AF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553308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553308">
        <w:rPr>
          <w:rFonts w:ascii="Arial" w:hAnsi="Arial" w:cs="Arial"/>
          <w:szCs w:val="24"/>
          <w:lang w:val="hr-HR"/>
        </w:rPr>
        <w:t>po</w:t>
      </w:r>
      <w:r>
        <w:rPr>
          <w:rFonts w:ascii="Arial" w:hAnsi="Arial" w:cs="Arial"/>
          <w:szCs w:val="24"/>
          <w:lang w:val="hr-HR"/>
        </w:rPr>
        <w:t xml:space="preserve">trošeno </w:t>
      </w:r>
      <w:r w:rsidR="00A71AFD">
        <w:rPr>
          <w:rFonts w:ascii="Arial" w:hAnsi="Arial" w:cs="Arial"/>
          <w:szCs w:val="24"/>
          <w:lang w:val="hr-HR"/>
        </w:rPr>
        <w:t>46.450,32</w:t>
      </w:r>
      <w:r>
        <w:rPr>
          <w:rFonts w:ascii="Arial" w:hAnsi="Arial" w:cs="Arial"/>
          <w:szCs w:val="24"/>
          <w:lang w:val="hr-HR"/>
        </w:rPr>
        <w:t xml:space="preserve"> </w:t>
      </w:r>
      <w:r w:rsidR="00A71AF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91025F">
        <w:rPr>
          <w:rFonts w:ascii="Arial" w:hAnsi="Arial" w:cs="Arial"/>
          <w:szCs w:val="24"/>
          <w:lang w:val="hr-HR"/>
        </w:rPr>
        <w:t xml:space="preserve"> (28,85%)</w:t>
      </w:r>
      <w:r>
        <w:rPr>
          <w:rFonts w:ascii="Arial" w:hAnsi="Arial" w:cs="Arial"/>
          <w:szCs w:val="24"/>
          <w:lang w:val="hr-HR"/>
        </w:rPr>
        <w:t>.</w:t>
      </w:r>
    </w:p>
    <w:p w14:paraId="607D590A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7BE222FF" w14:textId="77777777" w:rsidR="009F5ACD" w:rsidRDefault="009F5ACD" w:rsidP="008A069D">
      <w:pPr>
        <w:jc w:val="both"/>
        <w:rPr>
          <w:rFonts w:ascii="Arial" w:hAnsi="Arial" w:cs="Arial"/>
          <w:szCs w:val="24"/>
          <w:lang w:val="hr-HR"/>
        </w:rPr>
      </w:pPr>
    </w:p>
    <w:p w14:paraId="44CAC835" w14:textId="634A629F" w:rsidR="008A069D" w:rsidRPr="00AB7DB8" w:rsidRDefault="008A069D" w:rsidP="00AB7DB8">
      <w:pPr>
        <w:ind w:left="720"/>
        <w:jc w:val="both"/>
        <w:rPr>
          <w:rFonts w:ascii="Arial" w:hAnsi="Arial" w:cs="Arial"/>
          <w:b/>
          <w:bCs/>
          <w:szCs w:val="24"/>
          <w:lang w:val="hr-HR"/>
        </w:rPr>
      </w:pPr>
      <w:r w:rsidRPr="00AB7DB8">
        <w:rPr>
          <w:rFonts w:ascii="Arial" w:hAnsi="Arial" w:cs="Arial"/>
          <w:b/>
          <w:bCs/>
          <w:szCs w:val="24"/>
          <w:lang w:val="hr-HR"/>
        </w:rPr>
        <w:t xml:space="preserve">2.3.1.2. Upravni odjel za komunalne, gospodarske, društvene </w:t>
      </w:r>
      <w:r w:rsidR="00AB7DB8">
        <w:rPr>
          <w:rFonts w:ascii="Arial" w:hAnsi="Arial" w:cs="Arial"/>
          <w:b/>
          <w:bCs/>
          <w:szCs w:val="24"/>
          <w:lang w:val="hr-HR"/>
        </w:rPr>
        <w:t xml:space="preserve">   </w:t>
      </w:r>
      <w:r w:rsidRPr="00AB7DB8">
        <w:rPr>
          <w:rFonts w:ascii="Arial" w:hAnsi="Arial" w:cs="Arial"/>
          <w:b/>
          <w:bCs/>
          <w:szCs w:val="24"/>
          <w:lang w:val="hr-HR"/>
        </w:rPr>
        <w:t>djelatnosti i stručne poslove</w:t>
      </w:r>
    </w:p>
    <w:p w14:paraId="668A16B7" w14:textId="77777777" w:rsidR="00AB7DB8" w:rsidRDefault="00AB7DB8" w:rsidP="008A069D">
      <w:pPr>
        <w:jc w:val="both"/>
        <w:rPr>
          <w:rFonts w:ascii="Arial" w:hAnsi="Arial" w:cs="Arial"/>
          <w:b/>
          <w:bCs/>
          <w:szCs w:val="24"/>
          <w:u w:val="single"/>
          <w:lang w:val="hr-HR"/>
        </w:rPr>
      </w:pPr>
    </w:p>
    <w:p w14:paraId="326F6BAD" w14:textId="6DEB35A2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AB7DB8">
        <w:rPr>
          <w:rFonts w:ascii="Arial" w:hAnsi="Arial" w:cs="Arial"/>
          <w:b/>
          <w:bCs/>
          <w:szCs w:val="24"/>
          <w:u w:val="single"/>
          <w:lang w:val="hr-HR"/>
        </w:rPr>
        <w:t>Program 1002 – Uprava i administracija upravnog odjela I</w:t>
      </w:r>
      <w:r>
        <w:rPr>
          <w:rFonts w:ascii="Arial" w:hAnsi="Arial" w:cs="Arial"/>
          <w:szCs w:val="24"/>
          <w:lang w:val="hr-HR"/>
        </w:rPr>
        <w:t xml:space="preserve"> – planirano </w:t>
      </w:r>
      <w:r w:rsidR="00AB7DB8">
        <w:rPr>
          <w:rFonts w:ascii="Arial" w:hAnsi="Arial" w:cs="Arial"/>
          <w:szCs w:val="24"/>
          <w:lang w:val="hr-HR"/>
        </w:rPr>
        <w:t>675.370,00</w:t>
      </w:r>
      <w:r>
        <w:rPr>
          <w:rFonts w:ascii="Arial" w:hAnsi="Arial" w:cs="Arial"/>
          <w:szCs w:val="24"/>
          <w:lang w:val="hr-HR"/>
        </w:rPr>
        <w:t xml:space="preserve"> </w:t>
      </w:r>
      <w:r w:rsidR="00AB7DB8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potrošeno </w:t>
      </w:r>
      <w:r w:rsidR="00AB7DB8">
        <w:rPr>
          <w:rFonts w:ascii="Arial" w:hAnsi="Arial" w:cs="Arial"/>
          <w:szCs w:val="24"/>
          <w:lang w:val="hr-HR"/>
        </w:rPr>
        <w:t>235.067,27</w:t>
      </w:r>
      <w:r>
        <w:rPr>
          <w:rFonts w:ascii="Arial" w:hAnsi="Arial" w:cs="Arial"/>
          <w:szCs w:val="24"/>
          <w:lang w:val="hr-HR"/>
        </w:rPr>
        <w:t xml:space="preserve"> </w:t>
      </w:r>
      <w:r w:rsidR="00AB7DB8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B7DB8">
        <w:rPr>
          <w:rFonts w:ascii="Arial" w:hAnsi="Arial" w:cs="Arial"/>
          <w:szCs w:val="24"/>
          <w:lang w:val="hr-HR"/>
        </w:rPr>
        <w:t xml:space="preserve"> (34,81%)</w:t>
      </w:r>
      <w:r>
        <w:rPr>
          <w:rFonts w:ascii="Arial" w:hAnsi="Arial" w:cs="Arial"/>
          <w:szCs w:val="24"/>
          <w:lang w:val="hr-HR"/>
        </w:rPr>
        <w:t>, a odnos</w:t>
      </w:r>
      <w:r w:rsidR="00AB7DB8">
        <w:rPr>
          <w:rFonts w:ascii="Arial" w:hAnsi="Arial" w:cs="Arial"/>
          <w:szCs w:val="24"/>
          <w:lang w:val="hr-HR"/>
        </w:rPr>
        <w:t>i</w:t>
      </w:r>
      <w:r>
        <w:rPr>
          <w:rFonts w:ascii="Arial" w:hAnsi="Arial" w:cs="Arial"/>
          <w:szCs w:val="24"/>
          <w:lang w:val="hr-HR"/>
        </w:rPr>
        <w:t xml:space="preserve"> se na aktivnosti redovnog poslovanja, odnosno za plaće, materijalne rashode u okviru kojih su rashodi za materijal i energiju, rashodi za usluge i rashodi za nabavu nefinancijske imovine.</w:t>
      </w:r>
    </w:p>
    <w:p w14:paraId="77829E31" w14:textId="77777777" w:rsidR="008A069D" w:rsidRPr="00AC42B9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68FBAF8A" w14:textId="77777777" w:rsidR="008A069D" w:rsidRDefault="008A069D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AB7DB8">
        <w:rPr>
          <w:rFonts w:ascii="Arial" w:hAnsi="Arial" w:cs="Arial"/>
          <w:b/>
          <w:bCs/>
          <w:szCs w:val="24"/>
          <w:lang w:val="hr-HR"/>
        </w:rPr>
        <w:t>2.3.1.3. Upravni odjel za proračun i financije</w:t>
      </w:r>
    </w:p>
    <w:p w14:paraId="53E9F6E3" w14:textId="77777777" w:rsidR="00AB7DB8" w:rsidRPr="00AB7DB8" w:rsidRDefault="00AB7DB8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</w:p>
    <w:p w14:paraId="1A8A3726" w14:textId="67FFC27F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AB7DB8">
        <w:rPr>
          <w:rFonts w:ascii="Arial" w:hAnsi="Arial" w:cs="Arial"/>
          <w:b/>
          <w:bCs/>
          <w:szCs w:val="24"/>
          <w:u w:val="single"/>
          <w:lang w:val="hr-HR"/>
        </w:rPr>
        <w:t>Program 1003 – Uprava i administracija upravnog odjela II</w:t>
      </w:r>
      <w:r w:rsidRPr="00AB7DB8">
        <w:rPr>
          <w:rFonts w:ascii="Arial" w:hAnsi="Arial" w:cs="Arial"/>
          <w:szCs w:val="24"/>
          <w:lang w:val="hr-HR"/>
        </w:rPr>
        <w:t xml:space="preserve"> – planirano</w:t>
      </w:r>
      <w:r w:rsidRPr="00F57116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 </w:t>
      </w:r>
      <w:r w:rsidR="00AB7DB8">
        <w:rPr>
          <w:rFonts w:ascii="Arial" w:hAnsi="Arial" w:cs="Arial"/>
          <w:szCs w:val="24"/>
          <w:lang w:val="hr-HR"/>
        </w:rPr>
        <w:t>310.160,00</w:t>
      </w:r>
      <w:r>
        <w:rPr>
          <w:rFonts w:ascii="Arial" w:hAnsi="Arial" w:cs="Arial"/>
          <w:szCs w:val="24"/>
          <w:lang w:val="hr-HR"/>
        </w:rPr>
        <w:t xml:space="preserve"> </w:t>
      </w:r>
      <w:r w:rsidR="00AB7DB8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Pr="00F57116">
        <w:rPr>
          <w:rFonts w:ascii="Arial" w:hAnsi="Arial" w:cs="Arial"/>
          <w:szCs w:val="24"/>
          <w:lang w:val="hr-HR"/>
        </w:rPr>
        <w:t xml:space="preserve">, a </w:t>
      </w:r>
      <w:r w:rsidR="00553308">
        <w:rPr>
          <w:rFonts w:ascii="Arial" w:hAnsi="Arial" w:cs="Arial"/>
          <w:szCs w:val="24"/>
          <w:lang w:val="hr-HR"/>
        </w:rPr>
        <w:t>po</w:t>
      </w:r>
      <w:r w:rsidRPr="00F57116">
        <w:rPr>
          <w:rFonts w:ascii="Arial" w:hAnsi="Arial" w:cs="Arial"/>
          <w:szCs w:val="24"/>
          <w:lang w:val="hr-HR"/>
        </w:rPr>
        <w:t xml:space="preserve">trošeno </w:t>
      </w:r>
      <w:r w:rsidR="00AB7DB8">
        <w:rPr>
          <w:rFonts w:ascii="Arial" w:hAnsi="Arial" w:cs="Arial"/>
          <w:szCs w:val="24"/>
          <w:lang w:val="hr-HR"/>
        </w:rPr>
        <w:t>94.236,18</w:t>
      </w:r>
      <w:r>
        <w:rPr>
          <w:rFonts w:ascii="Arial" w:hAnsi="Arial" w:cs="Arial"/>
          <w:szCs w:val="24"/>
          <w:lang w:val="hr-HR"/>
        </w:rPr>
        <w:t xml:space="preserve"> </w:t>
      </w:r>
      <w:r w:rsidR="00AB7DB8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B7DB8">
        <w:rPr>
          <w:rFonts w:ascii="Arial" w:hAnsi="Arial" w:cs="Arial"/>
          <w:szCs w:val="24"/>
          <w:lang w:val="hr-HR"/>
        </w:rPr>
        <w:t xml:space="preserve"> (30,39%)</w:t>
      </w:r>
      <w:r w:rsidRPr="00F57116">
        <w:rPr>
          <w:rFonts w:ascii="Arial" w:hAnsi="Arial" w:cs="Arial"/>
          <w:szCs w:val="24"/>
          <w:lang w:val="hr-HR"/>
        </w:rPr>
        <w:t>, a odnos</w:t>
      </w:r>
      <w:r w:rsidR="00AB7DB8">
        <w:rPr>
          <w:rFonts w:ascii="Arial" w:hAnsi="Arial" w:cs="Arial"/>
          <w:szCs w:val="24"/>
          <w:lang w:val="hr-HR"/>
        </w:rPr>
        <w:t>i</w:t>
      </w:r>
      <w:r w:rsidRPr="00F57116">
        <w:rPr>
          <w:rFonts w:ascii="Arial" w:hAnsi="Arial" w:cs="Arial"/>
          <w:szCs w:val="24"/>
          <w:lang w:val="hr-HR"/>
        </w:rPr>
        <w:t xml:space="preserve"> se na aktivnosti redovnog poslovanja u sklopu kojega su rashodi za zaposlene, materijalni</w:t>
      </w:r>
      <w:r>
        <w:rPr>
          <w:rFonts w:ascii="Arial" w:hAnsi="Arial" w:cs="Arial"/>
          <w:szCs w:val="24"/>
          <w:lang w:val="hr-HR"/>
        </w:rPr>
        <w:t xml:space="preserve"> i financijski</w:t>
      </w:r>
      <w:r w:rsidRPr="00F57116">
        <w:rPr>
          <w:rFonts w:ascii="Arial" w:hAnsi="Arial" w:cs="Arial"/>
          <w:szCs w:val="24"/>
          <w:lang w:val="hr-HR"/>
        </w:rPr>
        <w:t xml:space="preserve"> rashodi</w:t>
      </w:r>
      <w:r>
        <w:rPr>
          <w:rFonts w:ascii="Arial" w:hAnsi="Arial" w:cs="Arial"/>
          <w:szCs w:val="24"/>
          <w:lang w:val="hr-HR"/>
        </w:rPr>
        <w:t xml:space="preserve"> te rashodi za nabavu nefinancijske imovine.</w:t>
      </w:r>
    </w:p>
    <w:p w14:paraId="43726381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2BC5E19D" w14:textId="77777777" w:rsidR="009F5ACD" w:rsidRDefault="009F5ACD" w:rsidP="008A069D">
      <w:pPr>
        <w:jc w:val="both"/>
        <w:rPr>
          <w:rFonts w:ascii="Arial" w:hAnsi="Arial" w:cs="Arial"/>
          <w:szCs w:val="24"/>
          <w:lang w:val="hr-HR"/>
        </w:rPr>
      </w:pPr>
    </w:p>
    <w:p w14:paraId="16601645" w14:textId="77777777" w:rsidR="008A069D" w:rsidRDefault="008A069D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AB7DB8">
        <w:rPr>
          <w:rFonts w:ascii="Arial" w:hAnsi="Arial" w:cs="Arial"/>
          <w:b/>
          <w:bCs/>
          <w:szCs w:val="24"/>
          <w:lang w:val="hr-HR"/>
        </w:rPr>
        <w:t>2.3.1.4. Mjesna samouprava</w:t>
      </w:r>
    </w:p>
    <w:p w14:paraId="28F1D4AD" w14:textId="77777777" w:rsidR="00AB7DB8" w:rsidRPr="00AB7DB8" w:rsidRDefault="00AB7DB8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</w:p>
    <w:p w14:paraId="7F4316B3" w14:textId="77777777" w:rsidR="008A069D" w:rsidRPr="00123EA2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>Cilj je osigurati sredstva za aktivnosti koje se provode u mjesnim odborima kao pretpostavka razvoja mjesne samouprave. Aktivnosti iz nadležnosti mjesne samouprave planiraju se i provode ponajprije radi poboljšanja životnog, komunalnog i kulturnog standarda građana. Planirana sredstva odnose se na rashode za materijal i energiju, rashode za usluge i rashode za nabavu nefinancijske imovine.</w:t>
      </w:r>
    </w:p>
    <w:p w14:paraId="11A91A48" w14:textId="77777777" w:rsidR="00AB7DB8" w:rsidRDefault="00AB7DB8" w:rsidP="008A069D">
      <w:pPr>
        <w:jc w:val="both"/>
        <w:rPr>
          <w:rFonts w:ascii="Arial" w:hAnsi="Arial" w:cs="Arial"/>
          <w:szCs w:val="24"/>
          <w:u w:val="single"/>
          <w:lang w:val="hr-HR"/>
        </w:rPr>
      </w:pPr>
    </w:p>
    <w:p w14:paraId="4BCAD5BA" w14:textId="5D56E30C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AB7DB8">
        <w:rPr>
          <w:rFonts w:ascii="Arial" w:hAnsi="Arial" w:cs="Arial"/>
          <w:b/>
          <w:bCs/>
          <w:szCs w:val="24"/>
          <w:u w:val="single"/>
          <w:lang w:val="hr-HR"/>
        </w:rPr>
        <w:t>Program 1004 – Opći rashodi poslovanja</w:t>
      </w:r>
      <w:r w:rsidR="00A608B0" w:rsidRPr="00A608B0">
        <w:rPr>
          <w:rFonts w:ascii="Arial" w:hAnsi="Arial" w:cs="Arial"/>
          <w:b/>
          <w:bCs/>
          <w:szCs w:val="24"/>
          <w:lang w:val="hr-HR"/>
        </w:rPr>
        <w:t xml:space="preserve"> -</w:t>
      </w:r>
      <w:r>
        <w:rPr>
          <w:rFonts w:ascii="Arial" w:hAnsi="Arial" w:cs="Arial"/>
          <w:szCs w:val="24"/>
          <w:lang w:val="hr-HR"/>
        </w:rPr>
        <w:t xml:space="preserve"> planirano </w:t>
      </w:r>
      <w:r w:rsidR="005B7003">
        <w:rPr>
          <w:rFonts w:ascii="Arial" w:hAnsi="Arial" w:cs="Arial"/>
          <w:szCs w:val="24"/>
          <w:lang w:val="hr-HR"/>
        </w:rPr>
        <w:t>279.660,00</w:t>
      </w:r>
      <w:r>
        <w:rPr>
          <w:rFonts w:ascii="Arial" w:hAnsi="Arial" w:cs="Arial"/>
          <w:szCs w:val="24"/>
          <w:lang w:val="hr-HR"/>
        </w:rPr>
        <w:t xml:space="preserve"> </w:t>
      </w:r>
      <w:r w:rsidR="005B7003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a </w:t>
      </w:r>
      <w:r w:rsidRPr="00B377B5">
        <w:rPr>
          <w:rFonts w:ascii="Arial" w:hAnsi="Arial" w:cs="Arial"/>
          <w:szCs w:val="24"/>
          <w:lang w:val="hr-HR"/>
        </w:rPr>
        <w:t>potrošeno</w:t>
      </w:r>
      <w:r w:rsidRPr="00DE41D5">
        <w:rPr>
          <w:rFonts w:ascii="Arial" w:hAnsi="Arial" w:cs="Arial"/>
          <w:i/>
          <w:szCs w:val="24"/>
          <w:lang w:val="hr-HR"/>
        </w:rPr>
        <w:t xml:space="preserve"> </w:t>
      </w:r>
      <w:r w:rsidR="005B7003">
        <w:rPr>
          <w:rFonts w:ascii="Arial" w:hAnsi="Arial" w:cs="Arial"/>
          <w:szCs w:val="24"/>
          <w:lang w:val="hr-HR"/>
        </w:rPr>
        <w:t>110.675,49</w:t>
      </w:r>
      <w:r>
        <w:rPr>
          <w:rFonts w:ascii="Arial" w:hAnsi="Arial" w:cs="Arial"/>
          <w:szCs w:val="24"/>
          <w:lang w:val="hr-HR"/>
        </w:rPr>
        <w:t xml:space="preserve"> </w:t>
      </w:r>
      <w:r w:rsidR="005B7003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5B7003">
        <w:rPr>
          <w:rFonts w:ascii="Arial" w:hAnsi="Arial" w:cs="Arial"/>
          <w:szCs w:val="24"/>
          <w:lang w:val="hr-HR"/>
        </w:rPr>
        <w:t xml:space="preserve"> (39,58%)</w:t>
      </w:r>
      <w:r w:rsidRPr="00B377B5">
        <w:rPr>
          <w:rFonts w:ascii="Arial" w:hAnsi="Arial" w:cs="Arial"/>
          <w:szCs w:val="24"/>
          <w:lang w:val="hr-HR"/>
        </w:rPr>
        <w:t>. U okviru programa nalaze se aktivnosti; redovno</w:t>
      </w:r>
      <w:r>
        <w:rPr>
          <w:rFonts w:ascii="Arial" w:hAnsi="Arial" w:cs="Arial"/>
          <w:szCs w:val="24"/>
          <w:lang w:val="hr-HR"/>
        </w:rPr>
        <w:t xml:space="preserve"> poslovanje mjesnih odbora za njihove potrebe, redovna djelatnost u okviru kojeg se nalaze troškovi energije (javna rasvjeta), komunaln</w:t>
      </w:r>
      <w:r w:rsidR="00A608B0">
        <w:rPr>
          <w:rFonts w:ascii="Arial" w:hAnsi="Arial" w:cs="Arial"/>
          <w:szCs w:val="24"/>
          <w:lang w:val="hr-HR"/>
        </w:rPr>
        <w:t>e usluge, intelektualne usluge</w:t>
      </w:r>
      <w:r>
        <w:rPr>
          <w:rFonts w:ascii="Arial" w:hAnsi="Arial" w:cs="Arial"/>
          <w:szCs w:val="24"/>
          <w:lang w:val="hr-HR"/>
        </w:rPr>
        <w:t xml:space="preserve"> te aktivnost osiguranja imovine i osoba.</w:t>
      </w:r>
    </w:p>
    <w:p w14:paraId="112AE735" w14:textId="77777777" w:rsidR="00A608B0" w:rsidRDefault="00A608B0" w:rsidP="008A069D">
      <w:pPr>
        <w:jc w:val="both"/>
        <w:rPr>
          <w:rFonts w:ascii="Arial" w:hAnsi="Arial" w:cs="Arial"/>
          <w:szCs w:val="24"/>
          <w:u w:val="single"/>
          <w:lang w:val="hr-HR"/>
        </w:rPr>
      </w:pPr>
    </w:p>
    <w:p w14:paraId="3F760E6C" w14:textId="7A1B6798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A608B0">
        <w:rPr>
          <w:rFonts w:ascii="Arial" w:hAnsi="Arial" w:cs="Arial"/>
          <w:b/>
          <w:bCs/>
          <w:szCs w:val="24"/>
          <w:u w:val="single"/>
          <w:lang w:val="hr-HR"/>
        </w:rPr>
        <w:t>Program 1005 – Održavanje komunalne infrastrukture</w:t>
      </w:r>
      <w:r w:rsidR="0059623C">
        <w:rPr>
          <w:rFonts w:ascii="Arial" w:hAnsi="Arial" w:cs="Arial"/>
          <w:szCs w:val="24"/>
          <w:lang w:val="hr-HR"/>
        </w:rPr>
        <w:t xml:space="preserve"> - </w:t>
      </w:r>
      <w:r>
        <w:rPr>
          <w:rFonts w:ascii="Arial" w:hAnsi="Arial" w:cs="Arial"/>
          <w:szCs w:val="24"/>
          <w:lang w:val="hr-HR"/>
        </w:rPr>
        <w:t xml:space="preserve">planirano </w:t>
      </w:r>
      <w:r w:rsidR="005356BD">
        <w:rPr>
          <w:rFonts w:ascii="Arial" w:hAnsi="Arial" w:cs="Arial"/>
          <w:szCs w:val="24"/>
          <w:lang w:val="hr-HR"/>
        </w:rPr>
        <w:t>5.068.550,00</w:t>
      </w:r>
      <w:r>
        <w:rPr>
          <w:rFonts w:ascii="Arial" w:hAnsi="Arial" w:cs="Arial"/>
          <w:szCs w:val="24"/>
          <w:lang w:val="hr-HR"/>
        </w:rPr>
        <w:t xml:space="preserve"> </w:t>
      </w:r>
      <w:r w:rsidR="005356B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a ostvareno </w:t>
      </w:r>
      <w:r w:rsidR="005356BD">
        <w:rPr>
          <w:rFonts w:ascii="Arial" w:hAnsi="Arial" w:cs="Arial"/>
          <w:szCs w:val="24"/>
          <w:lang w:val="hr-HR"/>
        </w:rPr>
        <w:t>1.290.295,76</w:t>
      </w:r>
      <w:r>
        <w:rPr>
          <w:rFonts w:ascii="Arial" w:hAnsi="Arial" w:cs="Arial"/>
          <w:szCs w:val="24"/>
          <w:lang w:val="hr-HR"/>
        </w:rPr>
        <w:t xml:space="preserve"> </w:t>
      </w:r>
      <w:r w:rsidR="005356B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5356BD">
        <w:rPr>
          <w:rFonts w:ascii="Arial" w:hAnsi="Arial" w:cs="Arial"/>
          <w:szCs w:val="24"/>
          <w:lang w:val="hr-HR"/>
        </w:rPr>
        <w:t xml:space="preserve"> (25,46%)</w:t>
      </w:r>
      <w:r>
        <w:rPr>
          <w:rFonts w:ascii="Arial" w:hAnsi="Arial" w:cs="Arial"/>
          <w:szCs w:val="24"/>
          <w:lang w:val="hr-HR"/>
        </w:rPr>
        <w:t xml:space="preserve">. U sklopu programa nalaze se aktivnosti, kao što su: usluge održavanja zajedničkih objekata gdje je planirano </w:t>
      </w:r>
      <w:r w:rsidR="005356BD">
        <w:rPr>
          <w:rFonts w:ascii="Arial" w:hAnsi="Arial" w:cs="Arial"/>
          <w:szCs w:val="24"/>
          <w:lang w:val="hr-HR"/>
        </w:rPr>
        <w:t>65.500,00</w:t>
      </w:r>
      <w:r>
        <w:rPr>
          <w:rFonts w:ascii="Arial" w:hAnsi="Arial" w:cs="Arial"/>
          <w:szCs w:val="24"/>
          <w:lang w:val="hr-HR"/>
        </w:rPr>
        <w:t xml:space="preserve"> </w:t>
      </w:r>
      <w:r w:rsidR="0059623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</w:t>
      </w:r>
      <w:r w:rsidR="0059623C">
        <w:rPr>
          <w:rFonts w:ascii="Arial" w:hAnsi="Arial" w:cs="Arial"/>
          <w:szCs w:val="24"/>
          <w:lang w:val="hr-HR"/>
        </w:rPr>
        <w:t>a,</w:t>
      </w:r>
      <w:r>
        <w:rPr>
          <w:rFonts w:ascii="Arial" w:hAnsi="Arial" w:cs="Arial"/>
          <w:szCs w:val="24"/>
          <w:lang w:val="hr-HR"/>
        </w:rPr>
        <w:t xml:space="preserve"> a </w:t>
      </w:r>
      <w:r w:rsidR="00553308">
        <w:rPr>
          <w:rFonts w:ascii="Arial" w:hAnsi="Arial" w:cs="Arial"/>
          <w:szCs w:val="24"/>
          <w:lang w:val="hr-HR"/>
        </w:rPr>
        <w:t>po</w:t>
      </w:r>
      <w:r>
        <w:rPr>
          <w:rFonts w:ascii="Arial" w:hAnsi="Arial" w:cs="Arial"/>
          <w:szCs w:val="24"/>
          <w:lang w:val="hr-HR"/>
        </w:rPr>
        <w:t xml:space="preserve">trošeno </w:t>
      </w:r>
      <w:r w:rsidR="0059623C">
        <w:rPr>
          <w:rFonts w:ascii="Arial" w:hAnsi="Arial" w:cs="Arial"/>
          <w:szCs w:val="24"/>
          <w:lang w:val="hr-HR"/>
        </w:rPr>
        <w:t>15.451,77</w:t>
      </w:r>
      <w:r>
        <w:rPr>
          <w:rFonts w:ascii="Arial" w:hAnsi="Arial" w:cs="Arial"/>
          <w:szCs w:val="24"/>
          <w:lang w:val="hr-HR"/>
        </w:rPr>
        <w:t xml:space="preserve"> </w:t>
      </w:r>
      <w:r w:rsidR="0059623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871253">
        <w:rPr>
          <w:rFonts w:ascii="Arial" w:hAnsi="Arial" w:cs="Arial"/>
          <w:szCs w:val="24"/>
          <w:lang w:val="hr-HR"/>
        </w:rPr>
        <w:t xml:space="preserve"> (23,59%)</w:t>
      </w:r>
      <w:r>
        <w:rPr>
          <w:rFonts w:ascii="Arial" w:hAnsi="Arial" w:cs="Arial"/>
          <w:szCs w:val="24"/>
          <w:lang w:val="hr-HR"/>
        </w:rPr>
        <w:t xml:space="preserve">; uređenje javnih površina planirano </w:t>
      </w:r>
      <w:r w:rsidR="0059623C">
        <w:rPr>
          <w:rFonts w:ascii="Arial" w:hAnsi="Arial" w:cs="Arial"/>
          <w:szCs w:val="24"/>
          <w:lang w:val="hr-HR"/>
        </w:rPr>
        <w:t>297.000,00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59623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91025F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realizirano </w:t>
      </w:r>
      <w:r w:rsidR="0059623C">
        <w:rPr>
          <w:rFonts w:ascii="Arial" w:hAnsi="Arial" w:cs="Arial"/>
          <w:szCs w:val="24"/>
          <w:lang w:val="hr-HR"/>
        </w:rPr>
        <w:t>108.254,13</w:t>
      </w:r>
      <w:r>
        <w:rPr>
          <w:rFonts w:ascii="Arial" w:hAnsi="Arial" w:cs="Arial"/>
          <w:szCs w:val="24"/>
          <w:lang w:val="hr-HR"/>
        </w:rPr>
        <w:t xml:space="preserve"> </w:t>
      </w:r>
      <w:r w:rsidR="0059623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59623C">
        <w:rPr>
          <w:rFonts w:ascii="Arial" w:hAnsi="Arial" w:cs="Arial"/>
          <w:szCs w:val="24"/>
          <w:lang w:val="hr-HR"/>
        </w:rPr>
        <w:t xml:space="preserve"> (36,45%)</w:t>
      </w:r>
      <w:r>
        <w:rPr>
          <w:rFonts w:ascii="Arial" w:hAnsi="Arial" w:cs="Arial"/>
          <w:szCs w:val="24"/>
          <w:lang w:val="hr-HR"/>
        </w:rPr>
        <w:t xml:space="preserve">; održavanje javne rasvjete planirano </w:t>
      </w:r>
      <w:r w:rsidR="00A73DCD">
        <w:rPr>
          <w:rFonts w:ascii="Arial" w:hAnsi="Arial" w:cs="Arial"/>
          <w:szCs w:val="24"/>
          <w:lang w:val="hr-HR"/>
        </w:rPr>
        <w:t>20.000,00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59623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59623C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553308">
        <w:rPr>
          <w:rFonts w:ascii="Arial" w:hAnsi="Arial" w:cs="Arial"/>
          <w:szCs w:val="24"/>
          <w:lang w:val="hr-HR"/>
        </w:rPr>
        <w:t>po</w:t>
      </w:r>
      <w:r>
        <w:rPr>
          <w:rFonts w:ascii="Arial" w:hAnsi="Arial" w:cs="Arial"/>
          <w:szCs w:val="24"/>
          <w:lang w:val="hr-HR"/>
        </w:rPr>
        <w:t xml:space="preserve">trošeno </w:t>
      </w:r>
      <w:r w:rsidR="0059623C">
        <w:rPr>
          <w:rFonts w:ascii="Arial" w:hAnsi="Arial" w:cs="Arial"/>
          <w:szCs w:val="24"/>
          <w:lang w:val="hr-HR"/>
        </w:rPr>
        <w:t>10.966,42</w:t>
      </w:r>
      <w:r>
        <w:rPr>
          <w:rFonts w:ascii="Arial" w:hAnsi="Arial" w:cs="Arial"/>
          <w:szCs w:val="24"/>
          <w:lang w:val="hr-HR"/>
        </w:rPr>
        <w:t xml:space="preserve"> </w:t>
      </w:r>
      <w:r w:rsidR="0059623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59623C">
        <w:rPr>
          <w:rFonts w:ascii="Arial" w:hAnsi="Arial" w:cs="Arial"/>
          <w:szCs w:val="24"/>
          <w:lang w:val="hr-HR"/>
        </w:rPr>
        <w:t xml:space="preserve"> (54,83%)</w:t>
      </w:r>
      <w:r>
        <w:rPr>
          <w:rFonts w:ascii="Arial" w:hAnsi="Arial" w:cs="Arial"/>
          <w:szCs w:val="24"/>
          <w:lang w:val="hr-HR"/>
        </w:rPr>
        <w:t xml:space="preserve">; zaštita okoliša planirano </w:t>
      </w:r>
      <w:r w:rsidR="0059623C">
        <w:rPr>
          <w:rFonts w:ascii="Arial" w:hAnsi="Arial" w:cs="Arial"/>
          <w:szCs w:val="24"/>
          <w:lang w:val="hr-HR"/>
        </w:rPr>
        <w:t>3</w:t>
      </w:r>
      <w:r w:rsidR="00A73DCD">
        <w:rPr>
          <w:rFonts w:ascii="Arial" w:hAnsi="Arial" w:cs="Arial"/>
          <w:szCs w:val="24"/>
          <w:lang w:val="hr-HR"/>
        </w:rPr>
        <w:t>1</w:t>
      </w:r>
      <w:r w:rsidR="0059623C">
        <w:rPr>
          <w:rFonts w:ascii="Arial" w:hAnsi="Arial" w:cs="Arial"/>
          <w:szCs w:val="24"/>
          <w:lang w:val="hr-HR"/>
        </w:rPr>
        <w:t>0</w:t>
      </w:r>
      <w:r w:rsidR="00A73DCD">
        <w:rPr>
          <w:rFonts w:ascii="Arial" w:hAnsi="Arial" w:cs="Arial"/>
          <w:szCs w:val="24"/>
          <w:lang w:val="hr-HR"/>
        </w:rPr>
        <w:t>.400,00</w:t>
      </w:r>
      <w:r>
        <w:rPr>
          <w:rFonts w:ascii="Arial" w:hAnsi="Arial" w:cs="Arial"/>
          <w:szCs w:val="24"/>
          <w:lang w:val="hr-HR"/>
        </w:rPr>
        <w:t xml:space="preserve"> </w:t>
      </w:r>
      <w:r w:rsidR="0059623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59623C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553308">
        <w:rPr>
          <w:rFonts w:ascii="Arial" w:hAnsi="Arial" w:cs="Arial"/>
          <w:szCs w:val="24"/>
          <w:lang w:val="hr-HR"/>
        </w:rPr>
        <w:t>po</w:t>
      </w:r>
      <w:r>
        <w:rPr>
          <w:rFonts w:ascii="Arial" w:hAnsi="Arial" w:cs="Arial"/>
          <w:szCs w:val="24"/>
          <w:lang w:val="hr-HR"/>
        </w:rPr>
        <w:t xml:space="preserve">trošeno </w:t>
      </w:r>
      <w:r w:rsidR="00A142FA">
        <w:rPr>
          <w:rFonts w:ascii="Arial" w:hAnsi="Arial" w:cs="Arial"/>
          <w:szCs w:val="24"/>
          <w:lang w:val="hr-HR"/>
        </w:rPr>
        <w:t>68.594,98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 (22,10%)</w:t>
      </w:r>
      <w:r>
        <w:rPr>
          <w:rFonts w:ascii="Arial" w:hAnsi="Arial" w:cs="Arial"/>
          <w:szCs w:val="24"/>
          <w:lang w:val="hr-HR"/>
        </w:rPr>
        <w:t>; potpora poljoprivredi planirano 2</w:t>
      </w:r>
      <w:r w:rsidR="00A142FA">
        <w:rPr>
          <w:rFonts w:ascii="Arial" w:hAnsi="Arial" w:cs="Arial"/>
          <w:szCs w:val="24"/>
          <w:lang w:val="hr-HR"/>
        </w:rPr>
        <w:t>9</w:t>
      </w:r>
      <w:r w:rsidR="00A73DCD">
        <w:rPr>
          <w:rFonts w:ascii="Arial" w:hAnsi="Arial" w:cs="Arial"/>
          <w:szCs w:val="24"/>
          <w:lang w:val="hr-HR"/>
        </w:rPr>
        <w:t>1</w:t>
      </w:r>
      <w:r>
        <w:rPr>
          <w:rFonts w:ascii="Arial" w:hAnsi="Arial" w:cs="Arial"/>
          <w:szCs w:val="24"/>
          <w:lang w:val="hr-HR"/>
        </w:rPr>
        <w:t>.</w:t>
      </w:r>
      <w:r w:rsidR="00A73DCD">
        <w:rPr>
          <w:rFonts w:ascii="Arial" w:hAnsi="Arial" w:cs="Arial"/>
          <w:szCs w:val="24"/>
          <w:lang w:val="hr-HR"/>
        </w:rPr>
        <w:t>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a realizirano </w:t>
      </w:r>
      <w:r w:rsidR="00A142FA">
        <w:rPr>
          <w:rFonts w:ascii="Arial" w:hAnsi="Arial" w:cs="Arial"/>
          <w:szCs w:val="24"/>
          <w:lang w:val="hr-HR"/>
        </w:rPr>
        <w:t>29.520,17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 (10,14%)</w:t>
      </w:r>
      <w:r>
        <w:rPr>
          <w:rFonts w:ascii="Arial" w:hAnsi="Arial" w:cs="Arial"/>
          <w:szCs w:val="24"/>
          <w:lang w:val="hr-HR"/>
        </w:rPr>
        <w:t xml:space="preserve">; sanacija asfaltiranih cesta planirano </w:t>
      </w:r>
      <w:r w:rsidR="00A73DCD">
        <w:rPr>
          <w:rFonts w:ascii="Arial" w:hAnsi="Arial" w:cs="Arial"/>
          <w:szCs w:val="24"/>
          <w:lang w:val="hr-HR"/>
        </w:rPr>
        <w:t>10</w:t>
      </w:r>
      <w:r>
        <w:rPr>
          <w:rFonts w:ascii="Arial" w:hAnsi="Arial" w:cs="Arial"/>
          <w:szCs w:val="24"/>
          <w:lang w:val="hr-HR"/>
        </w:rPr>
        <w:t xml:space="preserve">0.000,00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a izvršeno </w:t>
      </w:r>
      <w:r w:rsidR="00A142FA">
        <w:rPr>
          <w:rFonts w:ascii="Arial" w:hAnsi="Arial" w:cs="Arial"/>
          <w:szCs w:val="24"/>
          <w:lang w:val="hr-HR"/>
        </w:rPr>
        <w:t>1.113,03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</w:t>
      </w:r>
      <w:r w:rsidR="00A142FA">
        <w:rPr>
          <w:rFonts w:ascii="Arial" w:hAnsi="Arial" w:cs="Arial"/>
          <w:szCs w:val="24"/>
          <w:lang w:val="hr-HR"/>
        </w:rPr>
        <w:t>a (1,11%)</w:t>
      </w:r>
      <w:r>
        <w:rPr>
          <w:rFonts w:ascii="Arial" w:hAnsi="Arial" w:cs="Arial"/>
          <w:szCs w:val="24"/>
          <w:lang w:val="hr-HR"/>
        </w:rPr>
        <w:t xml:space="preserve">; sanacija nogostupa planirano </w:t>
      </w:r>
      <w:r w:rsidR="00A73DCD">
        <w:rPr>
          <w:rFonts w:ascii="Arial" w:hAnsi="Arial" w:cs="Arial"/>
          <w:szCs w:val="24"/>
          <w:lang w:val="hr-HR"/>
        </w:rPr>
        <w:t>10</w:t>
      </w:r>
      <w:r>
        <w:rPr>
          <w:rFonts w:ascii="Arial" w:hAnsi="Arial" w:cs="Arial"/>
          <w:szCs w:val="24"/>
          <w:lang w:val="hr-HR"/>
        </w:rPr>
        <w:t xml:space="preserve">0.000,00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553308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553308">
        <w:rPr>
          <w:rFonts w:ascii="Arial" w:hAnsi="Arial" w:cs="Arial"/>
          <w:szCs w:val="24"/>
          <w:lang w:val="hr-HR"/>
        </w:rPr>
        <w:t>ostvareno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0,00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ura; održavanje objekata planirano </w:t>
      </w:r>
      <w:r w:rsidR="00A73DCD">
        <w:rPr>
          <w:rFonts w:ascii="Arial" w:hAnsi="Arial" w:cs="Arial"/>
          <w:szCs w:val="24"/>
          <w:lang w:val="hr-HR"/>
        </w:rPr>
        <w:t>1</w:t>
      </w:r>
      <w:r w:rsidR="00A142FA">
        <w:rPr>
          <w:rFonts w:ascii="Arial" w:hAnsi="Arial" w:cs="Arial"/>
          <w:szCs w:val="24"/>
          <w:lang w:val="hr-HR"/>
        </w:rPr>
        <w:t>8</w:t>
      </w:r>
      <w:r w:rsidR="00A73DCD">
        <w:rPr>
          <w:rFonts w:ascii="Arial" w:hAnsi="Arial" w:cs="Arial"/>
          <w:szCs w:val="24"/>
          <w:lang w:val="hr-HR"/>
        </w:rPr>
        <w:t>5.000,00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izvršeno </w:t>
      </w:r>
      <w:r w:rsidR="00A142FA">
        <w:rPr>
          <w:rFonts w:ascii="Arial" w:hAnsi="Arial" w:cs="Arial"/>
          <w:szCs w:val="24"/>
          <w:lang w:val="hr-HR"/>
        </w:rPr>
        <w:t>6.343,86 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 (3,43%)</w:t>
      </w:r>
      <w:r>
        <w:rPr>
          <w:rFonts w:ascii="Arial" w:hAnsi="Arial" w:cs="Arial"/>
          <w:szCs w:val="24"/>
          <w:lang w:val="hr-HR"/>
        </w:rPr>
        <w:t xml:space="preserve">; kapitalna ulaganja u zgrade planirano </w:t>
      </w:r>
      <w:r w:rsidR="00A73DCD">
        <w:rPr>
          <w:rFonts w:ascii="Arial" w:hAnsi="Arial" w:cs="Arial"/>
          <w:szCs w:val="24"/>
          <w:lang w:val="hr-HR"/>
        </w:rPr>
        <w:t>1.</w:t>
      </w:r>
      <w:r w:rsidR="00A142FA">
        <w:rPr>
          <w:rFonts w:ascii="Arial" w:hAnsi="Arial" w:cs="Arial"/>
          <w:szCs w:val="24"/>
          <w:lang w:val="hr-HR"/>
        </w:rPr>
        <w:t>041</w:t>
      </w:r>
      <w:r>
        <w:rPr>
          <w:rFonts w:ascii="Arial" w:hAnsi="Arial" w:cs="Arial"/>
          <w:szCs w:val="24"/>
          <w:lang w:val="hr-HR"/>
        </w:rPr>
        <w:t>.</w:t>
      </w:r>
      <w:r w:rsidR="00A142FA">
        <w:rPr>
          <w:rFonts w:ascii="Arial" w:hAnsi="Arial" w:cs="Arial"/>
          <w:szCs w:val="24"/>
          <w:lang w:val="hr-HR"/>
        </w:rPr>
        <w:t>65</w:t>
      </w:r>
      <w:r>
        <w:rPr>
          <w:rFonts w:ascii="Arial" w:hAnsi="Arial" w:cs="Arial"/>
          <w:szCs w:val="24"/>
          <w:lang w:val="hr-HR"/>
        </w:rPr>
        <w:t xml:space="preserve">0,00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2D56F5">
        <w:rPr>
          <w:rFonts w:ascii="Arial" w:hAnsi="Arial" w:cs="Arial"/>
          <w:szCs w:val="24"/>
          <w:lang w:val="hr-HR"/>
        </w:rPr>
        <w:t>po</w:t>
      </w:r>
      <w:r>
        <w:rPr>
          <w:rFonts w:ascii="Arial" w:hAnsi="Arial" w:cs="Arial"/>
          <w:szCs w:val="24"/>
          <w:lang w:val="hr-HR"/>
        </w:rPr>
        <w:t xml:space="preserve">trošeno </w:t>
      </w:r>
      <w:r w:rsidR="00A142FA">
        <w:rPr>
          <w:rFonts w:ascii="Arial" w:hAnsi="Arial" w:cs="Arial"/>
          <w:szCs w:val="24"/>
          <w:lang w:val="hr-HR"/>
        </w:rPr>
        <w:t>445.523,06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 (42,77%)</w:t>
      </w:r>
      <w:r>
        <w:rPr>
          <w:rFonts w:ascii="Arial" w:hAnsi="Arial" w:cs="Arial"/>
          <w:szCs w:val="24"/>
          <w:lang w:val="hr-HR"/>
        </w:rPr>
        <w:t xml:space="preserve">; izrada planova i projekata planirano </w:t>
      </w:r>
      <w:r w:rsidR="00A73DCD">
        <w:rPr>
          <w:rFonts w:ascii="Arial" w:hAnsi="Arial" w:cs="Arial"/>
          <w:szCs w:val="24"/>
          <w:lang w:val="hr-HR"/>
        </w:rPr>
        <w:t>1</w:t>
      </w:r>
      <w:r w:rsidR="00A142FA">
        <w:rPr>
          <w:rFonts w:ascii="Arial" w:hAnsi="Arial" w:cs="Arial"/>
          <w:szCs w:val="24"/>
          <w:lang w:val="hr-HR"/>
        </w:rPr>
        <w:t>60</w:t>
      </w:r>
      <w:r>
        <w:rPr>
          <w:rFonts w:ascii="Arial" w:hAnsi="Arial" w:cs="Arial"/>
          <w:szCs w:val="24"/>
          <w:lang w:val="hr-HR"/>
        </w:rPr>
        <w:t xml:space="preserve">.000,00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2D56F5">
        <w:rPr>
          <w:rFonts w:ascii="Arial" w:hAnsi="Arial" w:cs="Arial"/>
          <w:szCs w:val="24"/>
          <w:lang w:val="hr-HR"/>
        </w:rPr>
        <w:t>po</w:t>
      </w:r>
      <w:r>
        <w:rPr>
          <w:rFonts w:ascii="Arial" w:hAnsi="Arial" w:cs="Arial"/>
          <w:szCs w:val="24"/>
          <w:lang w:val="hr-HR"/>
        </w:rPr>
        <w:t xml:space="preserve">trošeno </w:t>
      </w:r>
      <w:r w:rsidR="00A142FA">
        <w:rPr>
          <w:rFonts w:ascii="Arial" w:hAnsi="Arial" w:cs="Arial"/>
          <w:szCs w:val="24"/>
          <w:lang w:val="hr-HR"/>
        </w:rPr>
        <w:t>12.125,00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 (7,58%)</w:t>
      </w:r>
      <w:r>
        <w:rPr>
          <w:rFonts w:ascii="Arial" w:hAnsi="Arial" w:cs="Arial"/>
          <w:szCs w:val="24"/>
          <w:lang w:val="hr-HR"/>
        </w:rPr>
        <w:t xml:space="preserve">; </w:t>
      </w:r>
      <w:r>
        <w:rPr>
          <w:rFonts w:ascii="Arial" w:hAnsi="Arial" w:cs="Arial"/>
          <w:szCs w:val="24"/>
          <w:lang w:val="hr-HR"/>
        </w:rPr>
        <w:lastRenderedPageBreak/>
        <w:t xml:space="preserve">industrijska zona planirano </w:t>
      </w:r>
      <w:r w:rsidR="00A73DCD">
        <w:rPr>
          <w:rFonts w:ascii="Arial" w:hAnsi="Arial" w:cs="Arial"/>
          <w:szCs w:val="24"/>
          <w:lang w:val="hr-HR"/>
        </w:rPr>
        <w:t>27.000</w:t>
      </w:r>
      <w:r>
        <w:rPr>
          <w:rFonts w:ascii="Arial" w:hAnsi="Arial" w:cs="Arial"/>
          <w:szCs w:val="24"/>
          <w:lang w:val="hr-HR"/>
        </w:rPr>
        <w:t xml:space="preserve">,00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2D56F5">
        <w:rPr>
          <w:rFonts w:ascii="Arial" w:hAnsi="Arial" w:cs="Arial"/>
          <w:szCs w:val="24"/>
          <w:lang w:val="hr-HR"/>
        </w:rPr>
        <w:t>ostvareno</w:t>
      </w:r>
      <w:r>
        <w:rPr>
          <w:rFonts w:ascii="Arial" w:hAnsi="Arial" w:cs="Arial"/>
          <w:szCs w:val="24"/>
          <w:lang w:val="hr-HR"/>
        </w:rPr>
        <w:t xml:space="preserve"> 0,00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ura; izgradnja i rekonstrukcija javne rasvjete planirano </w:t>
      </w:r>
      <w:r w:rsidR="00A142FA">
        <w:rPr>
          <w:rFonts w:ascii="Arial" w:hAnsi="Arial" w:cs="Arial"/>
          <w:szCs w:val="24"/>
          <w:lang w:val="hr-HR"/>
        </w:rPr>
        <w:t>50.000</w:t>
      </w:r>
      <w:r w:rsidR="00A73DCD">
        <w:rPr>
          <w:rFonts w:ascii="Arial" w:hAnsi="Arial" w:cs="Arial"/>
          <w:szCs w:val="24"/>
          <w:lang w:val="hr-HR"/>
        </w:rPr>
        <w:t>,00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a </w:t>
      </w:r>
      <w:r w:rsidR="002D56F5">
        <w:rPr>
          <w:rFonts w:ascii="Arial" w:hAnsi="Arial" w:cs="Arial"/>
          <w:szCs w:val="24"/>
          <w:lang w:val="hr-HR"/>
        </w:rPr>
        <w:t>ostvareno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0,00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ura; izgradnja nogostupa sa planom od </w:t>
      </w:r>
      <w:r w:rsidR="00A142FA">
        <w:rPr>
          <w:rFonts w:ascii="Arial" w:hAnsi="Arial" w:cs="Arial"/>
          <w:szCs w:val="24"/>
          <w:lang w:val="hr-HR"/>
        </w:rPr>
        <w:t>2</w:t>
      </w:r>
      <w:r w:rsidR="00A73DCD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 xml:space="preserve">0.000,00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izvršeno </w:t>
      </w:r>
      <w:r w:rsidR="00A142FA">
        <w:rPr>
          <w:rFonts w:ascii="Arial" w:hAnsi="Arial" w:cs="Arial"/>
          <w:szCs w:val="24"/>
          <w:lang w:val="hr-HR"/>
        </w:rPr>
        <w:t>91.482,10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</w:t>
      </w:r>
      <w:r w:rsidR="00A142FA">
        <w:rPr>
          <w:rFonts w:ascii="Arial" w:hAnsi="Arial" w:cs="Arial"/>
          <w:szCs w:val="24"/>
          <w:lang w:val="hr-HR"/>
        </w:rPr>
        <w:t>a (36,59%)</w:t>
      </w:r>
      <w:r>
        <w:rPr>
          <w:rFonts w:ascii="Arial" w:hAnsi="Arial" w:cs="Arial"/>
          <w:szCs w:val="24"/>
          <w:lang w:val="hr-HR"/>
        </w:rPr>
        <w:t xml:space="preserve">; izgradnja i rekonstrukcija prometnih objekata i opreme u planiranom iznosu od </w:t>
      </w:r>
      <w:r w:rsidR="00A142FA">
        <w:rPr>
          <w:rFonts w:ascii="Arial" w:hAnsi="Arial" w:cs="Arial"/>
          <w:szCs w:val="24"/>
          <w:lang w:val="hr-HR"/>
        </w:rPr>
        <w:t>2.170.000,00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A142F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realizirano </w:t>
      </w:r>
      <w:r w:rsidR="00A142FA">
        <w:rPr>
          <w:rFonts w:ascii="Arial" w:hAnsi="Arial" w:cs="Arial"/>
          <w:szCs w:val="24"/>
          <w:lang w:val="hr-HR"/>
        </w:rPr>
        <w:t>500.921,24</w:t>
      </w:r>
      <w:r>
        <w:rPr>
          <w:rFonts w:ascii="Arial" w:hAnsi="Arial" w:cs="Arial"/>
          <w:szCs w:val="24"/>
          <w:lang w:val="hr-HR"/>
        </w:rPr>
        <w:t xml:space="preserve"> </w:t>
      </w:r>
      <w:r w:rsidR="00A142F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</w:t>
      </w:r>
      <w:r w:rsidR="00A142FA">
        <w:rPr>
          <w:rFonts w:ascii="Arial" w:hAnsi="Arial" w:cs="Arial"/>
          <w:szCs w:val="24"/>
          <w:lang w:val="hr-HR"/>
        </w:rPr>
        <w:t>a (23,08%)</w:t>
      </w:r>
      <w:r>
        <w:rPr>
          <w:rFonts w:ascii="Arial" w:hAnsi="Arial" w:cs="Arial"/>
          <w:szCs w:val="24"/>
          <w:lang w:val="hr-HR"/>
        </w:rPr>
        <w:t xml:space="preserve">. </w:t>
      </w:r>
    </w:p>
    <w:p w14:paraId="2C3F794F" w14:textId="77777777" w:rsidR="004A0549" w:rsidRDefault="004A0549" w:rsidP="008A069D">
      <w:pPr>
        <w:jc w:val="both"/>
        <w:rPr>
          <w:rFonts w:ascii="Arial" w:hAnsi="Arial" w:cs="Arial"/>
          <w:b/>
          <w:bCs/>
          <w:szCs w:val="24"/>
          <w:u w:val="single"/>
          <w:lang w:val="hr-HR"/>
        </w:rPr>
      </w:pPr>
    </w:p>
    <w:p w14:paraId="4B52C127" w14:textId="7F448522" w:rsidR="00612753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A142FA">
        <w:rPr>
          <w:rFonts w:ascii="Arial" w:hAnsi="Arial" w:cs="Arial"/>
          <w:b/>
          <w:bCs/>
          <w:szCs w:val="24"/>
          <w:u w:val="single"/>
          <w:lang w:val="hr-HR"/>
        </w:rPr>
        <w:t>Program 1006 – Financijski rashodi</w:t>
      </w:r>
      <w:r>
        <w:rPr>
          <w:rFonts w:ascii="Arial" w:hAnsi="Arial" w:cs="Arial"/>
          <w:szCs w:val="24"/>
          <w:lang w:val="hr-HR"/>
        </w:rPr>
        <w:t xml:space="preserve"> </w:t>
      </w:r>
      <w:r w:rsidR="004A0549">
        <w:rPr>
          <w:rFonts w:ascii="Arial" w:hAnsi="Arial" w:cs="Arial"/>
          <w:szCs w:val="24"/>
          <w:lang w:val="hr-HR"/>
        </w:rPr>
        <w:t>– planirano 66.300,00 eura, a ostvareno 28.380,12 eura (42,81%)</w:t>
      </w:r>
      <w:r w:rsidR="00276C6A">
        <w:rPr>
          <w:rFonts w:ascii="Arial" w:hAnsi="Arial" w:cs="Arial"/>
          <w:szCs w:val="24"/>
          <w:lang w:val="hr-HR"/>
        </w:rPr>
        <w:t>. U</w:t>
      </w:r>
      <w:r>
        <w:rPr>
          <w:rFonts w:ascii="Arial" w:hAnsi="Arial" w:cs="Arial"/>
          <w:szCs w:val="24"/>
          <w:lang w:val="hr-HR"/>
        </w:rPr>
        <w:t xml:space="preserve"> sklopu </w:t>
      </w:r>
      <w:r w:rsidR="00276C6A">
        <w:rPr>
          <w:rFonts w:ascii="Arial" w:hAnsi="Arial" w:cs="Arial"/>
          <w:szCs w:val="24"/>
          <w:lang w:val="hr-HR"/>
        </w:rPr>
        <w:t>programa</w:t>
      </w:r>
      <w:r>
        <w:rPr>
          <w:rFonts w:ascii="Arial" w:hAnsi="Arial" w:cs="Arial"/>
          <w:szCs w:val="24"/>
          <w:lang w:val="hr-HR"/>
        </w:rPr>
        <w:t xml:space="preserve"> nalaze </w:t>
      </w:r>
      <w:r w:rsidR="00276C6A">
        <w:rPr>
          <w:rFonts w:ascii="Arial" w:hAnsi="Arial" w:cs="Arial"/>
          <w:szCs w:val="24"/>
          <w:lang w:val="hr-HR"/>
        </w:rPr>
        <w:t xml:space="preserve">se </w:t>
      </w:r>
      <w:r>
        <w:rPr>
          <w:rFonts w:ascii="Arial" w:hAnsi="Arial" w:cs="Arial"/>
          <w:szCs w:val="24"/>
          <w:lang w:val="hr-HR"/>
        </w:rPr>
        <w:t>otplate kamata</w:t>
      </w:r>
      <w:r w:rsidR="00A142FA">
        <w:rPr>
          <w:rFonts w:ascii="Arial" w:hAnsi="Arial" w:cs="Arial"/>
          <w:szCs w:val="24"/>
          <w:lang w:val="hr-HR"/>
        </w:rPr>
        <w:t xml:space="preserve"> i</w:t>
      </w:r>
      <w:r>
        <w:rPr>
          <w:rFonts w:ascii="Arial" w:hAnsi="Arial" w:cs="Arial"/>
          <w:szCs w:val="24"/>
          <w:lang w:val="hr-HR"/>
        </w:rPr>
        <w:t xml:space="preserve"> usluge platnog prometa</w:t>
      </w:r>
      <w:r w:rsidR="00612753">
        <w:rPr>
          <w:rFonts w:ascii="Arial" w:hAnsi="Arial" w:cs="Arial"/>
          <w:szCs w:val="24"/>
          <w:lang w:val="hr-HR"/>
        </w:rPr>
        <w:t xml:space="preserve">, kao i redovna djelatnost </w:t>
      </w:r>
      <w:r>
        <w:rPr>
          <w:rFonts w:ascii="Arial" w:hAnsi="Arial" w:cs="Arial"/>
          <w:szCs w:val="24"/>
          <w:lang w:val="hr-HR"/>
        </w:rPr>
        <w:t xml:space="preserve"> </w:t>
      </w:r>
      <w:r w:rsidR="00612753">
        <w:rPr>
          <w:rFonts w:ascii="Arial" w:hAnsi="Arial" w:cs="Arial"/>
          <w:szCs w:val="24"/>
          <w:lang w:val="hr-HR"/>
        </w:rPr>
        <w:t>sa m</w:t>
      </w:r>
      <w:r w:rsidR="00AA3E7A">
        <w:rPr>
          <w:rFonts w:ascii="Arial" w:hAnsi="Arial" w:cs="Arial"/>
          <w:szCs w:val="24"/>
          <w:lang w:val="hr-HR"/>
        </w:rPr>
        <w:t>a</w:t>
      </w:r>
      <w:r w:rsidR="00612753">
        <w:rPr>
          <w:rFonts w:ascii="Arial" w:hAnsi="Arial" w:cs="Arial"/>
          <w:szCs w:val="24"/>
          <w:lang w:val="hr-HR"/>
        </w:rPr>
        <w:t xml:space="preserve">terijalnim rashodima kao što su </w:t>
      </w:r>
      <w:r w:rsidR="00AA3E7A">
        <w:rPr>
          <w:rFonts w:ascii="Arial" w:hAnsi="Arial" w:cs="Arial"/>
          <w:szCs w:val="24"/>
          <w:lang w:val="hr-HR"/>
        </w:rPr>
        <w:t>pristojbe i naknade te ostale usluge</w:t>
      </w:r>
      <w:r w:rsidR="004A0549">
        <w:rPr>
          <w:rFonts w:ascii="Arial" w:hAnsi="Arial" w:cs="Arial"/>
          <w:szCs w:val="24"/>
          <w:lang w:val="hr-HR"/>
        </w:rPr>
        <w:t xml:space="preserve">. </w:t>
      </w:r>
    </w:p>
    <w:p w14:paraId="4BB45A94" w14:textId="77777777" w:rsidR="00A142FA" w:rsidRDefault="00A142FA" w:rsidP="008A069D">
      <w:pPr>
        <w:jc w:val="both"/>
        <w:rPr>
          <w:rFonts w:ascii="Arial" w:hAnsi="Arial" w:cs="Arial"/>
          <w:szCs w:val="24"/>
          <w:u w:val="single"/>
          <w:lang w:val="hr-HR"/>
        </w:rPr>
      </w:pPr>
    </w:p>
    <w:p w14:paraId="30639FCF" w14:textId="7349C51E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276C6A">
        <w:rPr>
          <w:rFonts w:ascii="Arial" w:hAnsi="Arial" w:cs="Arial"/>
          <w:b/>
          <w:bCs/>
          <w:szCs w:val="24"/>
          <w:u w:val="single"/>
          <w:lang w:val="hr-HR"/>
        </w:rPr>
        <w:t>Program 1007 – Komunalna poduzeća</w:t>
      </w:r>
      <w:r>
        <w:rPr>
          <w:rFonts w:ascii="Arial" w:hAnsi="Arial" w:cs="Arial"/>
          <w:szCs w:val="24"/>
          <w:lang w:val="hr-HR"/>
        </w:rPr>
        <w:t xml:space="preserve"> </w:t>
      </w:r>
      <w:r w:rsidR="00276C6A">
        <w:rPr>
          <w:rFonts w:ascii="Arial" w:hAnsi="Arial" w:cs="Arial"/>
          <w:szCs w:val="24"/>
          <w:lang w:val="hr-HR"/>
        </w:rPr>
        <w:t>– planirano 1.070.000,00 eura, a ostvareno 390.732,06 eura (36,52%). U</w:t>
      </w:r>
      <w:r>
        <w:rPr>
          <w:rFonts w:ascii="Arial" w:hAnsi="Arial" w:cs="Arial"/>
          <w:szCs w:val="24"/>
          <w:lang w:val="hr-HR"/>
        </w:rPr>
        <w:t xml:space="preserve"> sklopu </w:t>
      </w:r>
      <w:r w:rsidR="00276C6A">
        <w:rPr>
          <w:rFonts w:ascii="Arial" w:hAnsi="Arial" w:cs="Arial"/>
          <w:szCs w:val="24"/>
          <w:lang w:val="hr-HR"/>
        </w:rPr>
        <w:t>programa nalaze se</w:t>
      </w:r>
      <w:r>
        <w:rPr>
          <w:rFonts w:ascii="Arial" w:hAnsi="Arial" w:cs="Arial"/>
          <w:szCs w:val="24"/>
          <w:lang w:val="hr-HR"/>
        </w:rPr>
        <w:t xml:space="preserve"> aktivnosti: zaštita okoliša </w:t>
      </w:r>
      <w:r w:rsidR="00276C6A">
        <w:rPr>
          <w:rFonts w:ascii="Arial" w:hAnsi="Arial" w:cs="Arial"/>
          <w:szCs w:val="24"/>
          <w:lang w:val="hr-HR"/>
        </w:rPr>
        <w:t xml:space="preserve">sa planiranim iznosom od 410.000,00 eura, a ostvarenih 214.121,47 eura (52,22%), </w:t>
      </w:r>
      <w:r>
        <w:rPr>
          <w:rFonts w:ascii="Arial" w:hAnsi="Arial" w:cs="Arial"/>
          <w:szCs w:val="24"/>
          <w:lang w:val="hr-HR"/>
        </w:rPr>
        <w:t>gdje je sanacija deponije otpada Doroslov</w:t>
      </w:r>
      <w:r w:rsidR="00D61CEA">
        <w:rPr>
          <w:rFonts w:ascii="Arial" w:hAnsi="Arial" w:cs="Arial"/>
          <w:szCs w:val="24"/>
          <w:lang w:val="hr-HR"/>
        </w:rPr>
        <w:t xml:space="preserve">; razvoj i upravljanje sustava vodoopskrbe, odvodnje i zaštite voda sa planom od </w:t>
      </w:r>
      <w:r w:rsidR="00E63BB8">
        <w:rPr>
          <w:rFonts w:ascii="Arial" w:hAnsi="Arial" w:cs="Arial"/>
          <w:szCs w:val="24"/>
          <w:lang w:val="hr-HR"/>
        </w:rPr>
        <w:t>660.000,00</w:t>
      </w:r>
      <w:r w:rsidR="00D61CEA">
        <w:rPr>
          <w:rFonts w:ascii="Arial" w:hAnsi="Arial" w:cs="Arial"/>
          <w:szCs w:val="24"/>
          <w:lang w:val="hr-HR"/>
        </w:rPr>
        <w:t xml:space="preserve"> </w:t>
      </w:r>
      <w:r w:rsidR="00E63BB8">
        <w:rPr>
          <w:rFonts w:ascii="Arial" w:hAnsi="Arial" w:cs="Arial"/>
          <w:szCs w:val="24"/>
          <w:lang w:val="hr-HR"/>
        </w:rPr>
        <w:t>e</w:t>
      </w:r>
      <w:r w:rsidR="00D61CEA">
        <w:rPr>
          <w:rFonts w:ascii="Arial" w:hAnsi="Arial" w:cs="Arial"/>
          <w:szCs w:val="24"/>
          <w:lang w:val="hr-HR"/>
        </w:rPr>
        <w:t>ura</w:t>
      </w:r>
      <w:r w:rsidR="00E63BB8">
        <w:rPr>
          <w:rFonts w:ascii="Arial" w:hAnsi="Arial" w:cs="Arial"/>
          <w:szCs w:val="24"/>
          <w:lang w:val="hr-HR"/>
        </w:rPr>
        <w:t xml:space="preserve">, </w:t>
      </w:r>
      <w:r w:rsidR="00D61CEA">
        <w:rPr>
          <w:rFonts w:ascii="Arial" w:hAnsi="Arial" w:cs="Arial"/>
          <w:szCs w:val="24"/>
          <w:lang w:val="hr-HR"/>
        </w:rPr>
        <w:t xml:space="preserve"> a realizira</w:t>
      </w:r>
      <w:r w:rsidR="00E63BB8">
        <w:rPr>
          <w:rFonts w:ascii="Arial" w:hAnsi="Arial" w:cs="Arial"/>
          <w:szCs w:val="24"/>
          <w:lang w:val="hr-HR"/>
        </w:rPr>
        <w:t xml:space="preserve">nih 176.610,59 eura (26,76%), gdje se nalazi razvoj vodno komunalne infrastrukture. </w:t>
      </w:r>
    </w:p>
    <w:p w14:paraId="4BCDE832" w14:textId="77777777" w:rsidR="00276C6A" w:rsidRDefault="00276C6A" w:rsidP="008A069D">
      <w:pPr>
        <w:jc w:val="both"/>
        <w:rPr>
          <w:rFonts w:ascii="Arial" w:hAnsi="Arial" w:cs="Arial"/>
          <w:szCs w:val="24"/>
          <w:u w:val="single"/>
          <w:lang w:val="hr-HR"/>
        </w:rPr>
      </w:pPr>
    </w:p>
    <w:p w14:paraId="78F6A735" w14:textId="3636C204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E63BB8">
        <w:rPr>
          <w:rFonts w:ascii="Arial" w:hAnsi="Arial" w:cs="Arial"/>
          <w:b/>
          <w:bCs/>
          <w:szCs w:val="24"/>
          <w:u w:val="single"/>
          <w:lang w:val="hr-HR"/>
        </w:rPr>
        <w:t>Program 1008 – Poticanje razvoja gospodarstva</w:t>
      </w:r>
      <w:r w:rsidR="00E63BB8">
        <w:rPr>
          <w:rFonts w:ascii="Arial" w:hAnsi="Arial" w:cs="Arial"/>
          <w:szCs w:val="24"/>
          <w:u w:val="single"/>
          <w:lang w:val="hr-HR"/>
        </w:rPr>
        <w:t xml:space="preserve"> </w:t>
      </w:r>
      <w:r w:rsidR="00E63BB8" w:rsidRPr="00E63BB8">
        <w:rPr>
          <w:rFonts w:ascii="Arial" w:hAnsi="Arial" w:cs="Arial"/>
          <w:szCs w:val="24"/>
          <w:lang w:val="hr-HR"/>
        </w:rPr>
        <w:t>–</w:t>
      </w:r>
      <w:r w:rsidR="000A65B3" w:rsidRPr="000A65B3">
        <w:rPr>
          <w:rFonts w:ascii="Arial" w:hAnsi="Arial" w:cs="Arial"/>
          <w:szCs w:val="24"/>
          <w:lang w:val="hr-HR"/>
        </w:rPr>
        <w:t xml:space="preserve"> </w:t>
      </w:r>
      <w:r w:rsidR="00E63BB8">
        <w:rPr>
          <w:rFonts w:ascii="Arial" w:hAnsi="Arial" w:cs="Arial"/>
          <w:szCs w:val="24"/>
          <w:lang w:val="hr-HR"/>
        </w:rPr>
        <w:t xml:space="preserve">planirano 138.955,40 eura, a ostvareno 29.148,12 eura (20,98%). </w:t>
      </w:r>
      <w:r>
        <w:rPr>
          <w:rFonts w:ascii="Arial" w:hAnsi="Arial" w:cs="Arial"/>
          <w:szCs w:val="24"/>
          <w:lang w:val="hr-HR"/>
        </w:rPr>
        <w:t xml:space="preserve">U ovom programu </w:t>
      </w:r>
      <w:r w:rsidR="00E63BB8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nalazi</w:t>
      </w:r>
      <w:r w:rsidR="00E63BB8">
        <w:rPr>
          <w:rFonts w:ascii="Arial" w:hAnsi="Arial" w:cs="Arial"/>
          <w:szCs w:val="24"/>
          <w:lang w:val="hr-HR"/>
        </w:rPr>
        <w:t xml:space="preserve"> se </w:t>
      </w:r>
      <w:r>
        <w:rPr>
          <w:rFonts w:ascii="Arial" w:hAnsi="Arial" w:cs="Arial"/>
          <w:szCs w:val="24"/>
          <w:lang w:val="hr-HR"/>
        </w:rPr>
        <w:t xml:space="preserve">subvencioniranje obrtnika i poduzetnika sa planom od </w:t>
      </w:r>
      <w:r w:rsidR="00E63BB8">
        <w:rPr>
          <w:rFonts w:ascii="Arial" w:hAnsi="Arial" w:cs="Arial"/>
          <w:szCs w:val="24"/>
          <w:lang w:val="hr-HR"/>
        </w:rPr>
        <w:t>88.855,40</w:t>
      </w:r>
      <w:r>
        <w:rPr>
          <w:rFonts w:ascii="Arial" w:hAnsi="Arial" w:cs="Arial"/>
          <w:szCs w:val="24"/>
          <w:lang w:val="hr-HR"/>
        </w:rPr>
        <w:t xml:space="preserve"> </w:t>
      </w:r>
      <w:r w:rsidR="00E63BB8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E63BB8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realizirano sa </w:t>
      </w:r>
      <w:r w:rsidR="00E63BB8">
        <w:rPr>
          <w:rFonts w:ascii="Arial" w:hAnsi="Arial" w:cs="Arial"/>
          <w:szCs w:val="24"/>
          <w:lang w:val="hr-HR"/>
        </w:rPr>
        <w:t>4.148,16</w:t>
      </w:r>
      <w:r>
        <w:rPr>
          <w:rFonts w:ascii="Arial" w:hAnsi="Arial" w:cs="Arial"/>
          <w:szCs w:val="24"/>
          <w:lang w:val="hr-HR"/>
        </w:rPr>
        <w:t xml:space="preserve"> </w:t>
      </w:r>
      <w:r w:rsidR="00E63BB8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</w:t>
      </w:r>
      <w:r w:rsidR="00E63BB8">
        <w:rPr>
          <w:rFonts w:ascii="Arial" w:hAnsi="Arial" w:cs="Arial"/>
          <w:szCs w:val="24"/>
          <w:lang w:val="hr-HR"/>
        </w:rPr>
        <w:t>a (4,66%)</w:t>
      </w:r>
      <w:r>
        <w:rPr>
          <w:rFonts w:ascii="Arial" w:hAnsi="Arial" w:cs="Arial"/>
          <w:szCs w:val="24"/>
          <w:lang w:val="hr-HR"/>
        </w:rPr>
        <w:t xml:space="preserve">; poduzetnički centar sa planom </w:t>
      </w:r>
      <w:r w:rsidR="000A65B3">
        <w:rPr>
          <w:rFonts w:ascii="Arial" w:hAnsi="Arial" w:cs="Arial"/>
          <w:szCs w:val="24"/>
          <w:lang w:val="hr-HR"/>
        </w:rPr>
        <w:t>od 5</w:t>
      </w:r>
      <w:r w:rsidR="00D61CEA">
        <w:rPr>
          <w:rFonts w:ascii="Arial" w:hAnsi="Arial" w:cs="Arial"/>
          <w:szCs w:val="24"/>
          <w:lang w:val="hr-HR"/>
        </w:rPr>
        <w:t>0.000,00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 i realizirano </w:t>
      </w:r>
      <w:r w:rsidR="000A65B3">
        <w:rPr>
          <w:rFonts w:ascii="Arial" w:hAnsi="Arial" w:cs="Arial"/>
          <w:szCs w:val="24"/>
          <w:lang w:val="hr-HR"/>
        </w:rPr>
        <w:t>24.999,96</w:t>
      </w:r>
      <w:r w:rsidR="00D61CEA"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e</w:t>
      </w:r>
      <w:r w:rsidR="00D61CEA">
        <w:rPr>
          <w:rFonts w:ascii="Arial" w:hAnsi="Arial" w:cs="Arial"/>
          <w:szCs w:val="24"/>
          <w:lang w:val="hr-HR"/>
        </w:rPr>
        <w:t>ura</w:t>
      </w:r>
      <w:r w:rsidR="0091025F">
        <w:rPr>
          <w:rFonts w:ascii="Arial" w:hAnsi="Arial" w:cs="Arial"/>
          <w:szCs w:val="24"/>
          <w:lang w:val="hr-HR"/>
        </w:rPr>
        <w:t xml:space="preserve"> (50,00%)</w:t>
      </w:r>
      <w:r>
        <w:rPr>
          <w:rFonts w:ascii="Arial" w:hAnsi="Arial" w:cs="Arial"/>
          <w:szCs w:val="24"/>
          <w:lang w:val="hr-HR"/>
        </w:rPr>
        <w:t>.</w:t>
      </w:r>
    </w:p>
    <w:p w14:paraId="4354AA0B" w14:textId="77777777" w:rsidR="00E63BB8" w:rsidRDefault="00E63BB8" w:rsidP="008A069D">
      <w:pPr>
        <w:jc w:val="both"/>
        <w:rPr>
          <w:rFonts w:ascii="Arial" w:hAnsi="Arial" w:cs="Arial"/>
          <w:szCs w:val="24"/>
          <w:u w:val="single"/>
          <w:lang w:val="hr-HR"/>
        </w:rPr>
      </w:pPr>
    </w:p>
    <w:p w14:paraId="29798262" w14:textId="4634DF28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0A65B3">
        <w:rPr>
          <w:rFonts w:ascii="Arial" w:hAnsi="Arial" w:cs="Arial"/>
          <w:b/>
          <w:bCs/>
          <w:szCs w:val="24"/>
          <w:u w:val="single"/>
          <w:lang w:val="hr-HR"/>
        </w:rPr>
        <w:t>Program 1018 – Program ruralnog razvoja</w:t>
      </w:r>
      <w:r>
        <w:rPr>
          <w:rFonts w:ascii="Arial" w:hAnsi="Arial" w:cs="Arial"/>
          <w:szCs w:val="24"/>
          <w:lang w:val="hr-HR"/>
        </w:rPr>
        <w:t xml:space="preserve"> u sklopu kojeg su kapitalne aktivnosti</w:t>
      </w:r>
      <w:r w:rsidR="000A65B3">
        <w:rPr>
          <w:rFonts w:ascii="Arial" w:hAnsi="Arial" w:cs="Arial"/>
          <w:szCs w:val="24"/>
          <w:lang w:val="hr-HR"/>
        </w:rPr>
        <w:t xml:space="preserve"> na poslovnim objektima planiran</w:t>
      </w:r>
      <w:r w:rsidR="002D56F5">
        <w:rPr>
          <w:rFonts w:ascii="Arial" w:hAnsi="Arial" w:cs="Arial"/>
          <w:szCs w:val="24"/>
          <w:lang w:val="hr-HR"/>
        </w:rPr>
        <w:t>e</w:t>
      </w:r>
      <w:r w:rsidR="000A65B3">
        <w:rPr>
          <w:rFonts w:ascii="Arial" w:hAnsi="Arial" w:cs="Arial"/>
          <w:szCs w:val="24"/>
          <w:lang w:val="hr-HR"/>
        </w:rPr>
        <w:t xml:space="preserve"> u iznosu od 20.000,00 eura</w:t>
      </w:r>
      <w:r w:rsidR="002D56F5">
        <w:rPr>
          <w:rFonts w:ascii="Arial" w:hAnsi="Arial" w:cs="Arial"/>
          <w:szCs w:val="24"/>
          <w:lang w:val="hr-HR"/>
        </w:rPr>
        <w:t xml:space="preserve">, </w:t>
      </w:r>
      <w:r w:rsidR="000A65B3">
        <w:rPr>
          <w:rFonts w:ascii="Arial" w:hAnsi="Arial" w:cs="Arial"/>
          <w:szCs w:val="24"/>
          <w:lang w:val="hr-HR"/>
        </w:rPr>
        <w:t>ostvare</w:t>
      </w:r>
      <w:r w:rsidR="002D56F5">
        <w:rPr>
          <w:rFonts w:ascii="Arial" w:hAnsi="Arial" w:cs="Arial"/>
          <w:szCs w:val="24"/>
          <w:lang w:val="hr-HR"/>
        </w:rPr>
        <w:t xml:space="preserve">no </w:t>
      </w:r>
      <w:r w:rsidR="000A65B3">
        <w:rPr>
          <w:rFonts w:ascii="Arial" w:hAnsi="Arial" w:cs="Arial"/>
          <w:szCs w:val="24"/>
          <w:lang w:val="hr-HR"/>
        </w:rPr>
        <w:t xml:space="preserve">0,00 eura. </w:t>
      </w:r>
    </w:p>
    <w:p w14:paraId="76E6E48F" w14:textId="77777777" w:rsidR="000A65B3" w:rsidRDefault="000A65B3" w:rsidP="008A069D">
      <w:pPr>
        <w:jc w:val="both"/>
        <w:rPr>
          <w:rFonts w:ascii="Arial" w:hAnsi="Arial" w:cs="Arial"/>
          <w:szCs w:val="24"/>
          <w:u w:val="single"/>
          <w:lang w:val="hr-HR"/>
        </w:rPr>
      </w:pPr>
    </w:p>
    <w:p w14:paraId="0806987F" w14:textId="13001838" w:rsidR="000F1646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0A65B3">
        <w:rPr>
          <w:rFonts w:ascii="Arial" w:hAnsi="Arial" w:cs="Arial"/>
          <w:b/>
          <w:bCs/>
          <w:szCs w:val="24"/>
          <w:u w:val="single"/>
          <w:lang w:val="hr-HR"/>
        </w:rPr>
        <w:t>Program 1019 -  Projekti financirani iz EU</w:t>
      </w:r>
      <w:r w:rsidR="000A65B3" w:rsidRPr="000A65B3"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–</w:t>
      </w:r>
      <w:r w:rsidR="000A65B3" w:rsidRPr="000A65B3"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planirano 3.020.200,00 eura,</w:t>
      </w:r>
      <w:r w:rsidR="002D56F5"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a ostvareno</w:t>
      </w:r>
      <w:r w:rsidR="002D56F5"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1.433.872,82</w:t>
      </w:r>
      <w:r w:rsidR="002D56F5"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eura</w:t>
      </w:r>
      <w:r w:rsidR="002D56F5"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(47,48%). U</w:t>
      </w:r>
      <w:r w:rsidRPr="00BB5D58">
        <w:rPr>
          <w:rFonts w:ascii="Arial" w:hAnsi="Arial" w:cs="Arial"/>
          <w:szCs w:val="24"/>
          <w:lang w:val="hr-HR"/>
        </w:rPr>
        <w:t xml:space="preserve"> sklopu </w:t>
      </w:r>
      <w:r w:rsidR="000A65B3">
        <w:rPr>
          <w:rFonts w:ascii="Arial" w:hAnsi="Arial" w:cs="Arial"/>
          <w:szCs w:val="24"/>
          <w:lang w:val="hr-HR"/>
        </w:rPr>
        <w:t>programa</w:t>
      </w:r>
      <w:r w:rsidRPr="00BB5D58">
        <w:rPr>
          <w:rFonts w:ascii="Arial" w:hAnsi="Arial" w:cs="Arial"/>
          <w:szCs w:val="24"/>
          <w:lang w:val="hr-HR"/>
        </w:rPr>
        <w:t xml:space="preserve"> </w:t>
      </w:r>
      <w:r w:rsidR="000F1646">
        <w:rPr>
          <w:rFonts w:ascii="Arial" w:hAnsi="Arial" w:cs="Arial"/>
          <w:szCs w:val="24"/>
          <w:lang w:val="hr-HR"/>
        </w:rPr>
        <w:t>je</w:t>
      </w:r>
      <w:r w:rsidRPr="00BB5D58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Program</w:t>
      </w:r>
      <w:r w:rsidR="000A65B3">
        <w:rPr>
          <w:rFonts w:ascii="Arial" w:hAnsi="Arial" w:cs="Arial"/>
          <w:szCs w:val="24"/>
          <w:lang w:val="hr-HR"/>
        </w:rPr>
        <w:t xml:space="preserve"> zapošljavanja žena </w:t>
      </w:r>
      <w:r>
        <w:rPr>
          <w:rFonts w:ascii="Arial" w:hAnsi="Arial" w:cs="Arial"/>
          <w:szCs w:val="24"/>
          <w:lang w:val="hr-HR"/>
        </w:rPr>
        <w:t xml:space="preserve">„Zaželi“ u planiranom iznosu od </w:t>
      </w:r>
      <w:r w:rsidR="000A65B3">
        <w:rPr>
          <w:rFonts w:ascii="Arial" w:hAnsi="Arial" w:cs="Arial"/>
          <w:szCs w:val="24"/>
          <w:lang w:val="hr-HR"/>
        </w:rPr>
        <w:t>541.500,00</w:t>
      </w:r>
      <w:r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ura, a realiziran u iznosu</w:t>
      </w:r>
      <w:r w:rsidR="000A65B3">
        <w:rPr>
          <w:rFonts w:ascii="Arial" w:hAnsi="Arial" w:cs="Arial"/>
          <w:szCs w:val="24"/>
          <w:lang w:val="hr-HR"/>
        </w:rPr>
        <w:t xml:space="preserve"> od</w:t>
      </w:r>
      <w:r>
        <w:rPr>
          <w:rFonts w:ascii="Arial" w:hAnsi="Arial" w:cs="Arial"/>
          <w:szCs w:val="24"/>
          <w:lang w:val="hr-HR"/>
        </w:rPr>
        <w:t xml:space="preserve"> </w:t>
      </w:r>
      <w:r w:rsidR="000A65B3">
        <w:rPr>
          <w:rFonts w:ascii="Arial" w:hAnsi="Arial" w:cs="Arial"/>
          <w:szCs w:val="24"/>
          <w:lang w:val="hr-HR"/>
        </w:rPr>
        <w:t>254.936,01 e</w:t>
      </w:r>
      <w:r>
        <w:rPr>
          <w:rFonts w:ascii="Arial" w:hAnsi="Arial" w:cs="Arial"/>
          <w:szCs w:val="24"/>
          <w:lang w:val="hr-HR"/>
        </w:rPr>
        <w:t>ura</w:t>
      </w:r>
      <w:r w:rsidR="000A65B3">
        <w:rPr>
          <w:rFonts w:ascii="Arial" w:hAnsi="Arial" w:cs="Arial"/>
          <w:szCs w:val="24"/>
          <w:lang w:val="hr-HR"/>
        </w:rPr>
        <w:t xml:space="preserve"> (47,08%)</w:t>
      </w:r>
      <w:r w:rsidR="000F1646">
        <w:rPr>
          <w:rFonts w:ascii="Arial" w:hAnsi="Arial" w:cs="Arial"/>
          <w:szCs w:val="24"/>
          <w:lang w:val="hr-HR"/>
        </w:rPr>
        <w:t>. P</w:t>
      </w:r>
      <w:r>
        <w:rPr>
          <w:rFonts w:ascii="Arial" w:hAnsi="Arial" w:cs="Arial"/>
          <w:szCs w:val="24"/>
          <w:lang w:val="hr-HR"/>
        </w:rPr>
        <w:t xml:space="preserve">rojekt zgrade </w:t>
      </w:r>
      <w:r w:rsidR="000F1646">
        <w:rPr>
          <w:rFonts w:ascii="Arial" w:hAnsi="Arial" w:cs="Arial"/>
          <w:szCs w:val="24"/>
          <w:lang w:val="hr-HR"/>
        </w:rPr>
        <w:t xml:space="preserve">planiran je u </w:t>
      </w:r>
      <w:r>
        <w:rPr>
          <w:rFonts w:ascii="Arial" w:hAnsi="Arial" w:cs="Arial"/>
          <w:szCs w:val="24"/>
          <w:lang w:val="hr-HR"/>
        </w:rPr>
        <w:t>iznos</w:t>
      </w:r>
      <w:r w:rsidR="000F1646">
        <w:rPr>
          <w:rFonts w:ascii="Arial" w:hAnsi="Arial" w:cs="Arial"/>
          <w:szCs w:val="24"/>
          <w:lang w:val="hr-HR"/>
        </w:rPr>
        <w:t>u</w:t>
      </w:r>
      <w:r>
        <w:rPr>
          <w:rFonts w:ascii="Arial" w:hAnsi="Arial" w:cs="Arial"/>
          <w:szCs w:val="24"/>
          <w:lang w:val="hr-HR"/>
        </w:rPr>
        <w:t xml:space="preserve"> od </w:t>
      </w:r>
      <w:r w:rsidR="000F1646">
        <w:rPr>
          <w:rFonts w:ascii="Arial" w:hAnsi="Arial" w:cs="Arial"/>
          <w:szCs w:val="24"/>
          <w:lang w:val="hr-HR"/>
        </w:rPr>
        <w:t>1.160.000,00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0F1646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0F1646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>a realiziran</w:t>
      </w:r>
      <w:r w:rsidR="000F1646">
        <w:rPr>
          <w:rFonts w:ascii="Arial" w:hAnsi="Arial" w:cs="Arial"/>
          <w:szCs w:val="24"/>
          <w:lang w:val="hr-HR"/>
        </w:rPr>
        <w:t xml:space="preserve"> i</w:t>
      </w:r>
      <w:r>
        <w:rPr>
          <w:rFonts w:ascii="Arial" w:hAnsi="Arial" w:cs="Arial"/>
          <w:szCs w:val="24"/>
          <w:lang w:val="hr-HR"/>
        </w:rPr>
        <w:t xml:space="preserve">znos od </w:t>
      </w:r>
      <w:r w:rsidR="000F1646">
        <w:rPr>
          <w:rFonts w:ascii="Arial" w:hAnsi="Arial" w:cs="Arial"/>
          <w:szCs w:val="24"/>
          <w:lang w:val="hr-HR"/>
        </w:rPr>
        <w:t>406.536,74</w:t>
      </w:r>
      <w:r>
        <w:rPr>
          <w:rFonts w:ascii="Arial" w:hAnsi="Arial" w:cs="Arial"/>
          <w:szCs w:val="24"/>
          <w:lang w:val="hr-HR"/>
        </w:rPr>
        <w:t xml:space="preserve"> </w:t>
      </w:r>
      <w:r w:rsidR="000F1646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0F1646">
        <w:rPr>
          <w:rFonts w:ascii="Arial" w:hAnsi="Arial" w:cs="Arial"/>
          <w:szCs w:val="24"/>
          <w:lang w:val="hr-HR"/>
        </w:rPr>
        <w:t xml:space="preserve"> (35,05%), gdje se nalazi </w:t>
      </w:r>
    </w:p>
    <w:p w14:paraId="24575BFB" w14:textId="77777777" w:rsidR="007B61CE" w:rsidRDefault="000F1646" w:rsidP="008A069D">
      <w:pPr>
        <w:jc w:val="both"/>
        <w:rPr>
          <w:rFonts w:ascii="Arial" w:hAnsi="Arial" w:cs="Arial"/>
          <w:szCs w:val="24"/>
          <w:lang w:val="hr-HR"/>
        </w:rPr>
      </w:pPr>
      <w:r w:rsidRPr="000F1646">
        <w:rPr>
          <w:rFonts w:ascii="Arial" w:hAnsi="Arial" w:cs="Arial"/>
          <w:szCs w:val="24"/>
          <w:lang w:val="hr-HR"/>
        </w:rPr>
        <w:t>energetska obnova Vukovarske 9</w:t>
      </w:r>
      <w:r>
        <w:rPr>
          <w:rFonts w:ascii="Arial" w:hAnsi="Arial" w:cs="Arial"/>
          <w:szCs w:val="24"/>
          <w:lang w:val="hr-HR"/>
        </w:rPr>
        <w:t>. Projekt Interreg Mađarska-Hrvatska (HUHR 2024)</w:t>
      </w:r>
      <w:r w:rsidR="007B61CE">
        <w:rPr>
          <w:rFonts w:ascii="Arial" w:hAnsi="Arial" w:cs="Arial"/>
          <w:szCs w:val="24"/>
          <w:lang w:val="hr-HR"/>
        </w:rPr>
        <w:t xml:space="preserve"> planiran u iznosu od 10.000,00 eura gdje je ostvareno 0,00 eura. Projekt </w:t>
      </w:r>
    </w:p>
    <w:p w14:paraId="358BB342" w14:textId="7DC4D7B3" w:rsidR="008A069D" w:rsidRDefault="007B61CE" w:rsidP="008A06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i</w:t>
      </w:r>
      <w:r w:rsidR="008A069D">
        <w:rPr>
          <w:rFonts w:ascii="Arial" w:hAnsi="Arial" w:cs="Arial"/>
          <w:szCs w:val="24"/>
          <w:lang w:val="hr-HR"/>
        </w:rPr>
        <w:t>zgrad</w:t>
      </w:r>
      <w:r>
        <w:rPr>
          <w:rFonts w:ascii="Arial" w:hAnsi="Arial" w:cs="Arial"/>
          <w:szCs w:val="24"/>
          <w:lang w:val="hr-HR"/>
        </w:rPr>
        <w:t>nje</w:t>
      </w:r>
      <w:r w:rsidR="008A069D">
        <w:rPr>
          <w:rFonts w:ascii="Arial" w:hAnsi="Arial" w:cs="Arial"/>
          <w:szCs w:val="24"/>
          <w:lang w:val="hr-HR"/>
        </w:rPr>
        <w:t xml:space="preserve"> zgrade dječjeg vrtića u Rakitovici sa planom od </w:t>
      </w:r>
      <w:r>
        <w:rPr>
          <w:rFonts w:ascii="Arial" w:hAnsi="Arial" w:cs="Arial"/>
          <w:szCs w:val="24"/>
          <w:lang w:val="hr-HR"/>
        </w:rPr>
        <w:t>1.070.000,00</w:t>
      </w:r>
      <w:r w:rsidR="008A069D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e</w:t>
      </w:r>
      <w:r w:rsidR="008A069D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, </w:t>
      </w:r>
      <w:r w:rsidR="008A069D">
        <w:rPr>
          <w:rFonts w:ascii="Arial" w:hAnsi="Arial" w:cs="Arial"/>
          <w:szCs w:val="24"/>
          <w:lang w:val="hr-HR"/>
        </w:rPr>
        <w:t xml:space="preserve">a  realizirano u iznosu od </w:t>
      </w:r>
      <w:r>
        <w:rPr>
          <w:rFonts w:ascii="Arial" w:hAnsi="Arial" w:cs="Arial"/>
          <w:szCs w:val="24"/>
          <w:lang w:val="hr-HR"/>
        </w:rPr>
        <w:t>771.985,32</w:t>
      </w:r>
      <w:r w:rsidR="008A069D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e</w:t>
      </w:r>
      <w:r w:rsidR="008A069D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 (72,15%)</w:t>
      </w:r>
      <w:r w:rsidR="008A069D">
        <w:rPr>
          <w:rFonts w:ascii="Arial" w:hAnsi="Arial" w:cs="Arial"/>
          <w:szCs w:val="24"/>
          <w:lang w:val="hr-HR"/>
        </w:rPr>
        <w:t>.</w:t>
      </w:r>
      <w:r w:rsidR="00E454E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Projekt p</w:t>
      </w:r>
      <w:r w:rsidR="00E454E7">
        <w:rPr>
          <w:rFonts w:ascii="Arial" w:hAnsi="Arial" w:cs="Arial"/>
          <w:szCs w:val="24"/>
          <w:lang w:val="hr-HR"/>
        </w:rPr>
        <w:t xml:space="preserve">rirodna baština u planiranom iznosu od </w:t>
      </w:r>
      <w:r>
        <w:rPr>
          <w:rFonts w:ascii="Arial" w:hAnsi="Arial" w:cs="Arial"/>
          <w:szCs w:val="24"/>
          <w:lang w:val="hr-HR"/>
        </w:rPr>
        <w:t>83.200,00</w:t>
      </w:r>
      <w:r w:rsidR="00E454E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e</w:t>
      </w:r>
      <w:r w:rsidR="00E454E7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, </w:t>
      </w:r>
      <w:r w:rsidR="00E454E7">
        <w:rPr>
          <w:rFonts w:ascii="Arial" w:hAnsi="Arial" w:cs="Arial"/>
          <w:szCs w:val="24"/>
          <w:lang w:val="hr-HR"/>
        </w:rPr>
        <w:t xml:space="preserve">a realizirano u iznosu od </w:t>
      </w:r>
      <w:r>
        <w:rPr>
          <w:rFonts w:ascii="Arial" w:hAnsi="Arial" w:cs="Arial"/>
          <w:szCs w:val="24"/>
          <w:lang w:val="hr-HR"/>
        </w:rPr>
        <w:t>414,75 e</w:t>
      </w:r>
      <w:r w:rsidR="00E454E7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 (0,50%).</w:t>
      </w:r>
      <w:r w:rsidR="00E454E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Projekt i</w:t>
      </w:r>
      <w:r w:rsidR="00E454E7">
        <w:rPr>
          <w:rFonts w:ascii="Arial" w:hAnsi="Arial" w:cs="Arial"/>
          <w:szCs w:val="24"/>
          <w:lang w:val="hr-HR"/>
        </w:rPr>
        <w:t>zgradnj</w:t>
      </w:r>
      <w:r>
        <w:rPr>
          <w:rFonts w:ascii="Arial" w:hAnsi="Arial" w:cs="Arial"/>
          <w:szCs w:val="24"/>
          <w:lang w:val="hr-HR"/>
        </w:rPr>
        <w:t>e</w:t>
      </w:r>
      <w:r w:rsidR="00E454E7">
        <w:rPr>
          <w:rFonts w:ascii="Arial" w:hAnsi="Arial" w:cs="Arial"/>
          <w:szCs w:val="24"/>
          <w:lang w:val="hr-HR"/>
        </w:rPr>
        <w:t xml:space="preserve"> sportskog centra </w:t>
      </w:r>
      <w:bookmarkStart w:id="0" w:name="_Hlk207354345"/>
      <w:r w:rsidR="00E454E7">
        <w:rPr>
          <w:rFonts w:ascii="Arial" w:hAnsi="Arial" w:cs="Arial"/>
          <w:szCs w:val="24"/>
          <w:lang w:val="hr-HR"/>
        </w:rPr>
        <w:t xml:space="preserve">u planiranom iznosu 50.000,00 </w:t>
      </w:r>
      <w:r>
        <w:rPr>
          <w:rFonts w:ascii="Arial" w:hAnsi="Arial" w:cs="Arial"/>
          <w:szCs w:val="24"/>
          <w:lang w:val="hr-HR"/>
        </w:rPr>
        <w:t>e</w:t>
      </w:r>
      <w:r w:rsidR="00E454E7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, </w:t>
      </w:r>
      <w:r w:rsidR="00E454E7">
        <w:rPr>
          <w:rFonts w:ascii="Arial" w:hAnsi="Arial" w:cs="Arial"/>
          <w:szCs w:val="24"/>
          <w:lang w:val="hr-HR"/>
        </w:rPr>
        <w:t xml:space="preserve">a </w:t>
      </w:r>
      <w:r w:rsidR="002D56F5">
        <w:rPr>
          <w:rFonts w:ascii="Arial" w:hAnsi="Arial" w:cs="Arial"/>
          <w:szCs w:val="24"/>
          <w:lang w:val="hr-HR"/>
        </w:rPr>
        <w:t>ostvareno 0,00 eura</w:t>
      </w:r>
      <w:r w:rsidR="00E454E7">
        <w:rPr>
          <w:rFonts w:ascii="Arial" w:hAnsi="Arial" w:cs="Arial"/>
          <w:szCs w:val="24"/>
          <w:lang w:val="hr-HR"/>
        </w:rPr>
        <w:t>.</w:t>
      </w:r>
      <w:bookmarkEnd w:id="0"/>
      <w:r>
        <w:rPr>
          <w:rFonts w:ascii="Arial" w:hAnsi="Arial" w:cs="Arial"/>
          <w:szCs w:val="24"/>
          <w:lang w:val="hr-HR"/>
        </w:rPr>
        <w:t xml:space="preserve"> Projekt obnove multimedijalnog centra u planiranom iznosu 50.000,00 eura, </w:t>
      </w:r>
      <w:r w:rsidR="002D56F5">
        <w:rPr>
          <w:rFonts w:ascii="Arial" w:hAnsi="Arial" w:cs="Arial"/>
          <w:szCs w:val="24"/>
          <w:lang w:val="hr-HR"/>
        </w:rPr>
        <w:t>ostvareno 0,00 eura</w:t>
      </w:r>
      <w:r>
        <w:rPr>
          <w:rFonts w:ascii="Arial" w:hAnsi="Arial" w:cs="Arial"/>
          <w:szCs w:val="24"/>
          <w:lang w:val="hr-HR"/>
        </w:rPr>
        <w:t xml:space="preserve">. Projekt e-Planovi u planiranom iznosu 55.500,00 eura, </w:t>
      </w:r>
      <w:r w:rsidR="002D56F5">
        <w:rPr>
          <w:rFonts w:ascii="Arial" w:hAnsi="Arial" w:cs="Arial"/>
          <w:szCs w:val="24"/>
          <w:lang w:val="hr-HR"/>
        </w:rPr>
        <w:t>ostvareno 0,00 eura.</w:t>
      </w:r>
    </w:p>
    <w:p w14:paraId="4B68B3A8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0AC11538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2C57A903" w14:textId="77777777" w:rsidR="008A069D" w:rsidRDefault="008A069D" w:rsidP="008A069D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2</w:t>
      </w:r>
      <w:r w:rsidRPr="00D91C0E">
        <w:rPr>
          <w:rFonts w:ascii="Arial" w:hAnsi="Arial" w:cs="Arial"/>
          <w:b/>
          <w:szCs w:val="24"/>
          <w:lang w:val="hr-HR"/>
        </w:rPr>
        <w:t>.</w:t>
      </w:r>
      <w:r>
        <w:rPr>
          <w:rFonts w:ascii="Arial" w:hAnsi="Arial" w:cs="Arial"/>
          <w:b/>
          <w:szCs w:val="24"/>
          <w:lang w:val="hr-HR"/>
        </w:rPr>
        <w:t>2</w:t>
      </w:r>
      <w:r w:rsidRPr="00D91C0E">
        <w:rPr>
          <w:rFonts w:ascii="Arial" w:hAnsi="Arial" w:cs="Arial"/>
          <w:b/>
          <w:szCs w:val="24"/>
          <w:lang w:val="hr-HR"/>
        </w:rPr>
        <w:t>.</w:t>
      </w:r>
      <w:r>
        <w:rPr>
          <w:rFonts w:ascii="Arial" w:hAnsi="Arial" w:cs="Arial"/>
          <w:b/>
          <w:szCs w:val="24"/>
          <w:lang w:val="hr-HR"/>
        </w:rPr>
        <w:t>2</w:t>
      </w:r>
      <w:r w:rsidRPr="00D91C0E">
        <w:rPr>
          <w:rFonts w:ascii="Arial" w:hAnsi="Arial" w:cs="Arial"/>
          <w:b/>
          <w:szCs w:val="24"/>
          <w:lang w:val="hr-HR"/>
        </w:rPr>
        <w:t xml:space="preserve">. </w:t>
      </w:r>
      <w:r>
        <w:rPr>
          <w:rFonts w:ascii="Arial" w:hAnsi="Arial" w:cs="Arial"/>
          <w:b/>
          <w:szCs w:val="24"/>
          <w:lang w:val="hr-HR"/>
        </w:rPr>
        <w:t>Predškolski odgoj, obrazovanje, kultura i šport</w:t>
      </w:r>
    </w:p>
    <w:p w14:paraId="39FB9D40" w14:textId="77777777" w:rsidR="008A069D" w:rsidRDefault="008A069D" w:rsidP="008A069D">
      <w:pPr>
        <w:jc w:val="both"/>
        <w:rPr>
          <w:rFonts w:ascii="Arial" w:hAnsi="Arial" w:cs="Arial"/>
          <w:b/>
          <w:szCs w:val="24"/>
          <w:lang w:val="hr-HR"/>
        </w:rPr>
      </w:pPr>
    </w:p>
    <w:p w14:paraId="04CC6CD5" w14:textId="77777777" w:rsidR="008A069D" w:rsidRPr="004F683E" w:rsidRDefault="008A069D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</w:t>
      </w:r>
      <w:r w:rsidRPr="004F683E">
        <w:rPr>
          <w:rFonts w:ascii="Arial" w:hAnsi="Arial" w:cs="Arial"/>
          <w:b/>
          <w:bCs/>
          <w:szCs w:val="24"/>
          <w:lang w:val="hr-HR"/>
        </w:rPr>
        <w:t>2.3.2.1. Kultura</w:t>
      </w:r>
    </w:p>
    <w:p w14:paraId="3177CCEB" w14:textId="1379F141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4F683E">
        <w:rPr>
          <w:rFonts w:ascii="Arial" w:hAnsi="Arial" w:cs="Arial"/>
          <w:b/>
          <w:bCs/>
          <w:szCs w:val="24"/>
          <w:u w:val="single"/>
          <w:lang w:val="hr-HR"/>
        </w:rPr>
        <w:t>Program 1009 – Kultura</w:t>
      </w:r>
      <w:r>
        <w:rPr>
          <w:rFonts w:ascii="Arial" w:hAnsi="Arial" w:cs="Arial"/>
          <w:szCs w:val="24"/>
          <w:lang w:val="hr-HR"/>
        </w:rPr>
        <w:t xml:space="preserve"> u okviru koj</w:t>
      </w:r>
      <w:r w:rsidR="004F683E">
        <w:rPr>
          <w:rFonts w:ascii="Arial" w:hAnsi="Arial" w:cs="Arial"/>
          <w:szCs w:val="24"/>
          <w:lang w:val="hr-HR"/>
        </w:rPr>
        <w:t>eg</w:t>
      </w:r>
      <w:r>
        <w:rPr>
          <w:rFonts w:ascii="Arial" w:hAnsi="Arial" w:cs="Arial"/>
          <w:szCs w:val="24"/>
          <w:lang w:val="hr-HR"/>
        </w:rPr>
        <w:t xml:space="preserve"> se nalaze aktivnosti Gradske knjižnice</w:t>
      </w:r>
      <w:r w:rsidR="004F683E">
        <w:rPr>
          <w:rFonts w:ascii="Arial" w:hAnsi="Arial" w:cs="Arial"/>
          <w:szCs w:val="24"/>
          <w:lang w:val="hr-HR"/>
        </w:rPr>
        <w:t xml:space="preserve"> i </w:t>
      </w:r>
      <w:r>
        <w:rPr>
          <w:rFonts w:ascii="Arial" w:hAnsi="Arial" w:cs="Arial"/>
          <w:szCs w:val="24"/>
          <w:lang w:val="hr-HR"/>
        </w:rPr>
        <w:t xml:space="preserve">udruga u </w:t>
      </w:r>
      <w:r w:rsidR="004F683E">
        <w:rPr>
          <w:rFonts w:ascii="Arial" w:hAnsi="Arial" w:cs="Arial"/>
          <w:szCs w:val="24"/>
          <w:lang w:val="hr-HR"/>
        </w:rPr>
        <w:t xml:space="preserve">kulturi. </w:t>
      </w:r>
    </w:p>
    <w:p w14:paraId="5BFD2D49" w14:textId="60AAD0FF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- Gradska knjižnica kao proračunski korisnik čiji je osnivač Grad obavlja svoju djelatnost prema Zakonu o knjižnicama. Sredstva za rad knjižnice planirana </w:t>
      </w:r>
      <w:r>
        <w:rPr>
          <w:rFonts w:ascii="Arial" w:hAnsi="Arial" w:cs="Arial"/>
          <w:szCs w:val="24"/>
          <w:lang w:val="hr-HR"/>
        </w:rPr>
        <w:lastRenderedPageBreak/>
        <w:t xml:space="preserve">su u iznosu od </w:t>
      </w:r>
      <w:r w:rsidR="00515C06">
        <w:rPr>
          <w:rFonts w:ascii="Arial" w:hAnsi="Arial" w:cs="Arial"/>
          <w:szCs w:val="24"/>
          <w:lang w:val="hr-HR"/>
        </w:rPr>
        <w:t>124.260,00</w:t>
      </w:r>
      <w:r>
        <w:rPr>
          <w:rFonts w:ascii="Arial" w:hAnsi="Arial" w:cs="Arial"/>
          <w:szCs w:val="24"/>
          <w:lang w:val="hr-HR"/>
        </w:rPr>
        <w:t xml:space="preserve"> </w:t>
      </w:r>
      <w:r w:rsidR="00515C06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 iz svih izvora, a odnose se na rashode za zaposlene, materijalne rashod</w:t>
      </w:r>
      <w:r w:rsidR="00515C06">
        <w:rPr>
          <w:rFonts w:ascii="Arial" w:hAnsi="Arial" w:cs="Arial"/>
          <w:szCs w:val="24"/>
          <w:lang w:val="hr-HR"/>
        </w:rPr>
        <w:t xml:space="preserve">e, </w:t>
      </w:r>
      <w:r>
        <w:rPr>
          <w:rFonts w:ascii="Arial" w:hAnsi="Arial" w:cs="Arial"/>
          <w:szCs w:val="24"/>
          <w:lang w:val="hr-HR"/>
        </w:rPr>
        <w:t xml:space="preserve">rashode za nabavu knjižnične građe te </w:t>
      </w:r>
      <w:r w:rsidR="00515C06">
        <w:rPr>
          <w:rFonts w:ascii="Arial" w:hAnsi="Arial" w:cs="Arial"/>
          <w:szCs w:val="24"/>
          <w:lang w:val="hr-HR"/>
        </w:rPr>
        <w:t xml:space="preserve">nabavu </w:t>
      </w:r>
      <w:r>
        <w:rPr>
          <w:rFonts w:ascii="Arial" w:hAnsi="Arial" w:cs="Arial"/>
          <w:szCs w:val="24"/>
          <w:lang w:val="hr-HR"/>
        </w:rPr>
        <w:t xml:space="preserve">informatičke </w:t>
      </w:r>
      <w:r w:rsidR="00515C06">
        <w:rPr>
          <w:rFonts w:ascii="Arial" w:hAnsi="Arial" w:cs="Arial"/>
          <w:szCs w:val="24"/>
          <w:lang w:val="hr-HR"/>
        </w:rPr>
        <w:t>i uredske</w:t>
      </w:r>
      <w:r>
        <w:rPr>
          <w:rFonts w:ascii="Arial" w:hAnsi="Arial" w:cs="Arial"/>
          <w:szCs w:val="24"/>
          <w:lang w:val="hr-HR"/>
        </w:rPr>
        <w:t xml:space="preserve"> opreme, a </w:t>
      </w:r>
      <w:r w:rsidR="002D56F5">
        <w:rPr>
          <w:rFonts w:ascii="Arial" w:hAnsi="Arial" w:cs="Arial"/>
          <w:szCs w:val="24"/>
          <w:lang w:val="hr-HR"/>
        </w:rPr>
        <w:t>ostvareno</w:t>
      </w:r>
      <w:r>
        <w:rPr>
          <w:rFonts w:ascii="Arial" w:hAnsi="Arial" w:cs="Arial"/>
          <w:szCs w:val="24"/>
          <w:lang w:val="hr-HR"/>
        </w:rPr>
        <w:t xml:space="preserve"> je </w:t>
      </w:r>
      <w:r w:rsidR="00515C06">
        <w:rPr>
          <w:rFonts w:ascii="Arial" w:hAnsi="Arial" w:cs="Arial"/>
          <w:szCs w:val="24"/>
          <w:lang w:val="hr-HR"/>
        </w:rPr>
        <w:t>50.340,96</w:t>
      </w:r>
      <w:r>
        <w:rPr>
          <w:rFonts w:ascii="Arial" w:hAnsi="Arial" w:cs="Arial"/>
          <w:szCs w:val="24"/>
          <w:lang w:val="hr-HR"/>
        </w:rPr>
        <w:t xml:space="preserve"> </w:t>
      </w:r>
      <w:r w:rsidR="00515C06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48500A">
        <w:rPr>
          <w:rFonts w:ascii="Arial" w:hAnsi="Arial" w:cs="Arial"/>
          <w:szCs w:val="24"/>
          <w:lang w:val="hr-HR"/>
        </w:rPr>
        <w:t xml:space="preserve"> (40,51%).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6F97C926" w14:textId="049A1215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- Javne potrebe u kulturi obuhvaćaju sufinanciranje programa udruga i društava iz područja kulture u ukupnom iznosu </w:t>
      </w:r>
      <w:r w:rsidR="0048500A">
        <w:rPr>
          <w:rFonts w:ascii="Arial" w:hAnsi="Arial" w:cs="Arial"/>
          <w:szCs w:val="24"/>
          <w:lang w:val="hr-HR"/>
        </w:rPr>
        <w:t>8</w:t>
      </w:r>
      <w:r w:rsidR="0034793D">
        <w:rPr>
          <w:rFonts w:ascii="Arial" w:hAnsi="Arial" w:cs="Arial"/>
          <w:szCs w:val="24"/>
          <w:lang w:val="hr-HR"/>
        </w:rPr>
        <w:t>0.000,00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48500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 i izvršeno je </w:t>
      </w:r>
      <w:r w:rsidR="0048500A">
        <w:rPr>
          <w:rFonts w:ascii="Arial" w:hAnsi="Arial" w:cs="Arial"/>
          <w:szCs w:val="24"/>
          <w:lang w:val="hr-HR"/>
        </w:rPr>
        <w:t>78.900,00</w:t>
      </w:r>
      <w:r>
        <w:rPr>
          <w:rFonts w:ascii="Arial" w:hAnsi="Arial" w:cs="Arial"/>
          <w:szCs w:val="24"/>
          <w:lang w:val="hr-HR"/>
        </w:rPr>
        <w:t xml:space="preserve"> </w:t>
      </w:r>
      <w:r w:rsidR="0048500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48500A">
        <w:rPr>
          <w:rFonts w:ascii="Arial" w:hAnsi="Arial" w:cs="Arial"/>
          <w:szCs w:val="24"/>
          <w:lang w:val="hr-HR"/>
        </w:rPr>
        <w:t xml:space="preserve"> (98,63%). </w:t>
      </w:r>
    </w:p>
    <w:p w14:paraId="1DBA7784" w14:textId="77777777" w:rsidR="00B33132" w:rsidRDefault="00B33132" w:rsidP="008A069D">
      <w:pPr>
        <w:jc w:val="both"/>
        <w:rPr>
          <w:rFonts w:ascii="Arial" w:hAnsi="Arial" w:cs="Arial"/>
          <w:szCs w:val="24"/>
          <w:lang w:val="hr-HR"/>
        </w:rPr>
      </w:pPr>
    </w:p>
    <w:p w14:paraId="2FE9A586" w14:textId="77777777" w:rsidR="009F5ACD" w:rsidRDefault="009F5ACD" w:rsidP="008A069D">
      <w:pPr>
        <w:jc w:val="both"/>
        <w:rPr>
          <w:rFonts w:ascii="Arial" w:hAnsi="Arial" w:cs="Arial"/>
          <w:szCs w:val="24"/>
          <w:lang w:val="hr-HR"/>
        </w:rPr>
      </w:pPr>
    </w:p>
    <w:p w14:paraId="2D0CBAE8" w14:textId="77777777" w:rsidR="008A069D" w:rsidRPr="0048500A" w:rsidRDefault="008A069D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48500A">
        <w:rPr>
          <w:rFonts w:ascii="Arial" w:hAnsi="Arial" w:cs="Arial"/>
          <w:b/>
          <w:bCs/>
          <w:szCs w:val="24"/>
          <w:lang w:val="hr-HR"/>
        </w:rPr>
        <w:t>2.3.2.2. Obrazovanje</w:t>
      </w:r>
    </w:p>
    <w:p w14:paraId="5C6B12BF" w14:textId="77777777" w:rsidR="008A069D" w:rsidRPr="0048500A" w:rsidRDefault="008A069D" w:rsidP="008A069D">
      <w:pPr>
        <w:jc w:val="both"/>
        <w:rPr>
          <w:rFonts w:ascii="Arial" w:hAnsi="Arial" w:cs="Arial"/>
          <w:b/>
          <w:bCs/>
          <w:szCs w:val="24"/>
          <w:u w:val="single"/>
          <w:lang w:val="hr-HR"/>
        </w:rPr>
      </w:pPr>
      <w:r w:rsidRPr="0048500A">
        <w:rPr>
          <w:rFonts w:ascii="Arial" w:hAnsi="Arial" w:cs="Arial"/>
          <w:b/>
          <w:bCs/>
          <w:szCs w:val="24"/>
          <w:u w:val="single"/>
          <w:lang w:val="hr-HR"/>
        </w:rPr>
        <w:t>Program 1010 – Predškolstvo</w:t>
      </w:r>
    </w:p>
    <w:p w14:paraId="12BB19A2" w14:textId="667CAA10" w:rsidR="008A069D" w:rsidRDefault="008A069D" w:rsidP="008A069D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71130F">
        <w:rPr>
          <w:rFonts w:ascii="Arial" w:hAnsi="Arial" w:cs="Arial"/>
          <w:szCs w:val="24"/>
          <w:lang w:val="hr-HR"/>
        </w:rPr>
        <w:t>Dječji vrtić „Pinokio“</w:t>
      </w:r>
      <w:r>
        <w:rPr>
          <w:rFonts w:ascii="Arial" w:hAnsi="Arial" w:cs="Arial"/>
          <w:szCs w:val="24"/>
          <w:lang w:val="hr-HR"/>
        </w:rPr>
        <w:t xml:space="preserve"> kojemu je osnivač Grad provodi program ranog odgoja i skrbi o djeci predškolske odgoja od navršene prve godine života do polaska u osnovnu školu za djecu jasličke i vrtićke odgojno obrazovne skupine. U sklopu vrtića postoji i mala škola koju pohađaju djeca predškolskog uzrasta</w:t>
      </w:r>
      <w:r w:rsidR="0048500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koja inače ne borave u vrtiću. U odgojno obrazovnom procesu sudjeluju odgajateljice, a za ostale poslove brine se pomoćno osoblje. Vrtić se sufinancira i iz općina Marijanci, Viljevo i Moslavina Podravska koje sufinanciraju za svoje ogranke.  Za te aktivnosti planirana su ukupna sredstva u iznosu od </w:t>
      </w:r>
      <w:r w:rsidR="0048500A">
        <w:rPr>
          <w:rFonts w:ascii="Arial" w:hAnsi="Arial" w:cs="Arial"/>
          <w:szCs w:val="24"/>
          <w:lang w:val="hr-HR"/>
        </w:rPr>
        <w:t>1.868.015,00 e</w:t>
      </w:r>
      <w:r>
        <w:rPr>
          <w:rFonts w:ascii="Arial" w:hAnsi="Arial" w:cs="Arial"/>
          <w:szCs w:val="24"/>
          <w:lang w:val="hr-HR"/>
        </w:rPr>
        <w:t>ura</w:t>
      </w:r>
      <w:r w:rsidR="0048500A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2D56F5">
        <w:rPr>
          <w:rFonts w:ascii="Arial" w:hAnsi="Arial" w:cs="Arial"/>
          <w:szCs w:val="24"/>
          <w:lang w:val="hr-HR"/>
        </w:rPr>
        <w:t>ostvareno</w:t>
      </w:r>
      <w:r>
        <w:rPr>
          <w:rFonts w:ascii="Arial" w:hAnsi="Arial" w:cs="Arial"/>
          <w:szCs w:val="24"/>
          <w:lang w:val="hr-HR"/>
        </w:rPr>
        <w:t xml:space="preserve"> je </w:t>
      </w:r>
      <w:r w:rsidR="0048500A">
        <w:rPr>
          <w:rFonts w:ascii="Arial" w:hAnsi="Arial" w:cs="Arial"/>
          <w:szCs w:val="24"/>
          <w:lang w:val="hr-HR"/>
        </w:rPr>
        <w:t>840.432,40</w:t>
      </w:r>
      <w:r>
        <w:rPr>
          <w:rFonts w:ascii="Arial" w:hAnsi="Arial" w:cs="Arial"/>
          <w:szCs w:val="24"/>
          <w:lang w:val="hr-HR"/>
        </w:rPr>
        <w:t xml:space="preserve"> </w:t>
      </w:r>
      <w:r w:rsidR="0048500A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48500A">
        <w:rPr>
          <w:rFonts w:ascii="Arial" w:hAnsi="Arial" w:cs="Arial"/>
          <w:szCs w:val="24"/>
          <w:lang w:val="hr-HR"/>
        </w:rPr>
        <w:t xml:space="preserve"> (44,99%). </w:t>
      </w:r>
    </w:p>
    <w:p w14:paraId="58D7B748" w14:textId="77777777" w:rsidR="0048500A" w:rsidRDefault="0048500A" w:rsidP="008A069D">
      <w:pPr>
        <w:jc w:val="both"/>
        <w:rPr>
          <w:rFonts w:ascii="Arial" w:hAnsi="Arial" w:cs="Arial"/>
          <w:szCs w:val="24"/>
          <w:u w:val="single"/>
          <w:lang w:val="hr-HR"/>
        </w:rPr>
      </w:pPr>
    </w:p>
    <w:p w14:paraId="2ED31313" w14:textId="176DE590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48500A">
        <w:rPr>
          <w:rFonts w:ascii="Arial" w:hAnsi="Arial" w:cs="Arial"/>
          <w:b/>
          <w:bCs/>
          <w:szCs w:val="24"/>
          <w:u w:val="single"/>
          <w:lang w:val="hr-HR"/>
        </w:rPr>
        <w:t>Program 1011 – Školstvo</w:t>
      </w:r>
      <w:r w:rsidR="0048500A" w:rsidRPr="0048500A">
        <w:rPr>
          <w:rFonts w:ascii="Arial" w:hAnsi="Arial" w:cs="Arial"/>
          <w:szCs w:val="24"/>
          <w:lang w:val="hr-HR"/>
        </w:rPr>
        <w:t xml:space="preserve"> -</w:t>
      </w:r>
      <w:r w:rsidR="0048500A" w:rsidRPr="0048500A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U sklopu programa su aktivnosti za osnovne škole sa planom od </w:t>
      </w:r>
      <w:r w:rsidR="00275BE8">
        <w:rPr>
          <w:rFonts w:ascii="Arial" w:hAnsi="Arial" w:cs="Arial"/>
          <w:szCs w:val="24"/>
          <w:lang w:val="hr-HR"/>
        </w:rPr>
        <w:t>5.000,00</w:t>
      </w:r>
      <w:r w:rsidR="0019530F">
        <w:rPr>
          <w:rFonts w:ascii="Arial" w:hAnsi="Arial" w:cs="Arial"/>
          <w:szCs w:val="24"/>
          <w:lang w:val="hr-HR"/>
        </w:rPr>
        <w:t xml:space="preserve"> eura, a izvršeno 3.170,00 eura (63,40%)</w:t>
      </w:r>
      <w:r w:rsidR="00B5731B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te </w:t>
      </w:r>
      <w:r w:rsidR="00B5731B">
        <w:rPr>
          <w:rFonts w:ascii="Arial" w:hAnsi="Arial" w:cs="Arial"/>
          <w:szCs w:val="24"/>
          <w:lang w:val="hr-HR"/>
        </w:rPr>
        <w:t xml:space="preserve">aktivnosti za </w:t>
      </w:r>
      <w:r>
        <w:rPr>
          <w:rFonts w:ascii="Arial" w:hAnsi="Arial" w:cs="Arial"/>
          <w:szCs w:val="24"/>
          <w:lang w:val="hr-HR"/>
        </w:rPr>
        <w:t xml:space="preserve">srednju školu, gdje je planirano </w:t>
      </w:r>
      <w:r w:rsidR="00B5731B">
        <w:rPr>
          <w:rFonts w:ascii="Arial" w:hAnsi="Arial" w:cs="Arial"/>
          <w:szCs w:val="24"/>
          <w:lang w:val="hr-HR"/>
        </w:rPr>
        <w:t>3.0</w:t>
      </w:r>
      <w:r w:rsidR="00275BE8">
        <w:rPr>
          <w:rFonts w:ascii="Arial" w:hAnsi="Arial" w:cs="Arial"/>
          <w:szCs w:val="24"/>
          <w:lang w:val="hr-HR"/>
        </w:rPr>
        <w:t>00,00</w:t>
      </w:r>
      <w:r>
        <w:rPr>
          <w:rFonts w:ascii="Arial" w:hAnsi="Arial" w:cs="Arial"/>
          <w:szCs w:val="24"/>
          <w:lang w:val="hr-HR"/>
        </w:rPr>
        <w:t xml:space="preserve"> </w:t>
      </w:r>
      <w:r w:rsidR="00B5731B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ura,</w:t>
      </w:r>
      <w:r w:rsidR="00275BE8">
        <w:rPr>
          <w:rFonts w:ascii="Arial" w:hAnsi="Arial" w:cs="Arial"/>
          <w:szCs w:val="24"/>
          <w:lang w:val="hr-HR"/>
        </w:rPr>
        <w:t xml:space="preserve"> a</w:t>
      </w:r>
      <w:r>
        <w:rPr>
          <w:rFonts w:ascii="Arial" w:hAnsi="Arial" w:cs="Arial"/>
          <w:szCs w:val="24"/>
          <w:lang w:val="hr-HR"/>
        </w:rPr>
        <w:t xml:space="preserve"> </w:t>
      </w:r>
      <w:r w:rsidR="0062711B">
        <w:rPr>
          <w:rFonts w:ascii="Arial" w:hAnsi="Arial" w:cs="Arial"/>
          <w:szCs w:val="24"/>
          <w:lang w:val="hr-HR"/>
        </w:rPr>
        <w:t>po</w:t>
      </w:r>
      <w:r>
        <w:rPr>
          <w:rFonts w:ascii="Arial" w:hAnsi="Arial" w:cs="Arial"/>
          <w:szCs w:val="24"/>
          <w:lang w:val="hr-HR"/>
        </w:rPr>
        <w:t xml:space="preserve">trošeno </w:t>
      </w:r>
      <w:r w:rsidR="00B5731B">
        <w:rPr>
          <w:rFonts w:ascii="Arial" w:hAnsi="Arial" w:cs="Arial"/>
          <w:szCs w:val="24"/>
          <w:lang w:val="hr-HR"/>
        </w:rPr>
        <w:t>4</w:t>
      </w:r>
      <w:r w:rsidR="00275BE8">
        <w:rPr>
          <w:rFonts w:ascii="Arial" w:hAnsi="Arial" w:cs="Arial"/>
          <w:szCs w:val="24"/>
          <w:lang w:val="hr-HR"/>
        </w:rPr>
        <w:t xml:space="preserve">00,00 </w:t>
      </w:r>
      <w:r w:rsidR="00B5731B">
        <w:rPr>
          <w:rFonts w:ascii="Arial" w:hAnsi="Arial" w:cs="Arial"/>
          <w:szCs w:val="24"/>
          <w:lang w:val="hr-HR"/>
        </w:rPr>
        <w:t>e</w:t>
      </w:r>
      <w:r w:rsidR="00275BE8">
        <w:rPr>
          <w:rFonts w:ascii="Arial" w:hAnsi="Arial" w:cs="Arial"/>
          <w:szCs w:val="24"/>
          <w:lang w:val="hr-HR"/>
        </w:rPr>
        <w:t>ura</w:t>
      </w:r>
      <w:r w:rsidR="00B5731B">
        <w:rPr>
          <w:rFonts w:ascii="Arial" w:hAnsi="Arial" w:cs="Arial"/>
          <w:szCs w:val="24"/>
          <w:lang w:val="hr-HR"/>
        </w:rPr>
        <w:t xml:space="preserve"> (13,33%). </w:t>
      </w:r>
    </w:p>
    <w:p w14:paraId="728F94B8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0949485D" w14:textId="77777777" w:rsidR="008A069D" w:rsidRPr="00B709F5" w:rsidRDefault="008A069D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B709F5">
        <w:rPr>
          <w:rFonts w:ascii="Arial" w:hAnsi="Arial" w:cs="Arial"/>
          <w:b/>
          <w:bCs/>
          <w:szCs w:val="24"/>
          <w:lang w:val="hr-HR"/>
        </w:rPr>
        <w:t>2.3.2.3. Šport</w:t>
      </w:r>
    </w:p>
    <w:p w14:paraId="05BB8E9A" w14:textId="3DC7AF58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B709F5">
        <w:rPr>
          <w:rFonts w:ascii="Arial" w:hAnsi="Arial" w:cs="Arial"/>
          <w:b/>
          <w:bCs/>
          <w:szCs w:val="24"/>
          <w:u w:val="single"/>
          <w:lang w:val="hr-HR"/>
        </w:rPr>
        <w:t>Program 1012 – Služba rekreacije i športa</w:t>
      </w:r>
      <w:r>
        <w:rPr>
          <w:rFonts w:ascii="Arial" w:hAnsi="Arial" w:cs="Arial"/>
          <w:szCs w:val="24"/>
          <w:lang w:val="hr-HR"/>
        </w:rPr>
        <w:t xml:space="preserve"> u sklopu kojega su</w:t>
      </w:r>
      <w:r w:rsidR="00B709F5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tekuće donacije športskim udrugama i zajednici športskih udruga p</w:t>
      </w:r>
      <w:r w:rsidR="00094B05">
        <w:rPr>
          <w:rFonts w:ascii="Arial" w:hAnsi="Arial" w:cs="Arial"/>
          <w:szCs w:val="24"/>
          <w:lang w:val="hr-HR"/>
        </w:rPr>
        <w:t>r</w:t>
      </w:r>
      <w:r>
        <w:rPr>
          <w:rFonts w:ascii="Arial" w:hAnsi="Arial" w:cs="Arial"/>
          <w:szCs w:val="24"/>
          <w:lang w:val="hr-HR"/>
        </w:rPr>
        <w:t xml:space="preserve">eko koje ide isplata, gdje je planirano </w:t>
      </w:r>
      <w:r w:rsidR="00094B05">
        <w:rPr>
          <w:rFonts w:ascii="Arial" w:hAnsi="Arial" w:cs="Arial"/>
          <w:szCs w:val="24"/>
          <w:lang w:val="hr-HR"/>
        </w:rPr>
        <w:t>2</w:t>
      </w:r>
      <w:r w:rsidR="00B709F5">
        <w:rPr>
          <w:rFonts w:ascii="Arial" w:hAnsi="Arial" w:cs="Arial"/>
          <w:szCs w:val="24"/>
          <w:lang w:val="hr-HR"/>
        </w:rPr>
        <w:t>0</w:t>
      </w:r>
      <w:r w:rsidR="00094B05">
        <w:rPr>
          <w:rFonts w:ascii="Arial" w:hAnsi="Arial" w:cs="Arial"/>
          <w:szCs w:val="24"/>
          <w:lang w:val="hr-HR"/>
        </w:rPr>
        <w:t>0.000,00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B709F5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B709F5">
        <w:rPr>
          <w:rFonts w:ascii="Arial" w:hAnsi="Arial" w:cs="Arial"/>
          <w:szCs w:val="24"/>
          <w:lang w:val="hr-HR"/>
        </w:rPr>
        <w:t xml:space="preserve">, a </w:t>
      </w:r>
      <w:r>
        <w:rPr>
          <w:rFonts w:ascii="Arial" w:hAnsi="Arial" w:cs="Arial"/>
          <w:szCs w:val="24"/>
          <w:lang w:val="hr-HR"/>
        </w:rPr>
        <w:t>realizir</w:t>
      </w:r>
      <w:r w:rsidR="00094B05">
        <w:rPr>
          <w:rFonts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  <w:lang w:val="hr-HR"/>
        </w:rPr>
        <w:t>no</w:t>
      </w:r>
      <w:r w:rsidR="00094B05">
        <w:rPr>
          <w:rFonts w:ascii="Arial" w:hAnsi="Arial" w:cs="Arial"/>
          <w:szCs w:val="24"/>
          <w:lang w:val="hr-HR"/>
        </w:rPr>
        <w:t xml:space="preserve"> </w:t>
      </w:r>
      <w:r w:rsidR="00B709F5">
        <w:rPr>
          <w:rFonts w:ascii="Arial" w:hAnsi="Arial" w:cs="Arial"/>
          <w:szCs w:val="24"/>
          <w:lang w:val="hr-HR"/>
        </w:rPr>
        <w:t>99.999,96 eura</w:t>
      </w:r>
      <w:r w:rsidR="00B33132">
        <w:rPr>
          <w:rFonts w:ascii="Arial" w:hAnsi="Arial" w:cs="Arial"/>
          <w:szCs w:val="24"/>
          <w:lang w:val="hr-HR"/>
        </w:rPr>
        <w:t xml:space="preserve"> (50,00%)</w:t>
      </w:r>
      <w:r w:rsidR="00B709F5">
        <w:rPr>
          <w:rFonts w:ascii="Arial" w:hAnsi="Arial" w:cs="Arial"/>
          <w:szCs w:val="24"/>
          <w:lang w:val="hr-HR"/>
        </w:rPr>
        <w:t>.</w:t>
      </w:r>
    </w:p>
    <w:p w14:paraId="075A50FD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4F5A29BA" w14:textId="77777777" w:rsidR="00B33132" w:rsidRDefault="00B33132" w:rsidP="008A069D">
      <w:pPr>
        <w:jc w:val="both"/>
        <w:rPr>
          <w:rFonts w:ascii="Arial" w:hAnsi="Arial" w:cs="Arial"/>
          <w:b/>
          <w:szCs w:val="24"/>
          <w:lang w:val="hr-HR"/>
        </w:rPr>
      </w:pPr>
    </w:p>
    <w:p w14:paraId="2EE19F60" w14:textId="309E98D6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2</w:t>
      </w:r>
      <w:r w:rsidRPr="00D91C0E">
        <w:rPr>
          <w:rFonts w:ascii="Arial" w:hAnsi="Arial" w:cs="Arial"/>
          <w:b/>
          <w:szCs w:val="24"/>
          <w:lang w:val="hr-HR"/>
        </w:rPr>
        <w:t>.</w:t>
      </w:r>
      <w:r>
        <w:rPr>
          <w:rFonts w:ascii="Arial" w:hAnsi="Arial" w:cs="Arial"/>
          <w:b/>
          <w:szCs w:val="24"/>
          <w:lang w:val="hr-HR"/>
        </w:rPr>
        <w:t>2</w:t>
      </w:r>
      <w:r w:rsidRPr="00D91C0E">
        <w:rPr>
          <w:rFonts w:ascii="Arial" w:hAnsi="Arial" w:cs="Arial"/>
          <w:b/>
          <w:szCs w:val="24"/>
          <w:lang w:val="hr-HR"/>
        </w:rPr>
        <w:t>.</w:t>
      </w:r>
      <w:r>
        <w:rPr>
          <w:rFonts w:ascii="Arial" w:hAnsi="Arial" w:cs="Arial"/>
          <w:b/>
          <w:szCs w:val="24"/>
          <w:lang w:val="hr-HR"/>
        </w:rPr>
        <w:t>3</w:t>
      </w:r>
      <w:r w:rsidRPr="00D91C0E">
        <w:rPr>
          <w:rFonts w:ascii="Arial" w:hAnsi="Arial" w:cs="Arial"/>
          <w:b/>
          <w:szCs w:val="24"/>
          <w:lang w:val="hr-HR"/>
        </w:rPr>
        <w:t xml:space="preserve">. </w:t>
      </w:r>
      <w:r>
        <w:rPr>
          <w:rFonts w:ascii="Arial" w:hAnsi="Arial" w:cs="Arial"/>
          <w:b/>
          <w:szCs w:val="24"/>
          <w:lang w:val="hr-HR"/>
        </w:rPr>
        <w:t>Ostali korisnici proračuna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20ABF8D3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00756D0E" w14:textId="77777777" w:rsidR="008A069D" w:rsidRPr="00B709F5" w:rsidRDefault="008A069D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B709F5">
        <w:rPr>
          <w:rFonts w:ascii="Arial" w:hAnsi="Arial" w:cs="Arial"/>
          <w:b/>
          <w:bCs/>
          <w:szCs w:val="24"/>
          <w:lang w:val="hr-HR"/>
        </w:rPr>
        <w:t>2.3.3.1. Vatrogastvo</w:t>
      </w:r>
    </w:p>
    <w:p w14:paraId="33E5609E" w14:textId="3B693468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B709F5">
        <w:rPr>
          <w:rFonts w:ascii="Arial" w:hAnsi="Arial" w:cs="Arial"/>
          <w:b/>
          <w:bCs/>
          <w:szCs w:val="24"/>
          <w:u w:val="single"/>
          <w:lang w:val="hr-HR"/>
        </w:rPr>
        <w:t>Program 1013 – Protupožarna i civilna zaštita</w:t>
      </w:r>
      <w:r>
        <w:rPr>
          <w:rFonts w:ascii="Arial" w:hAnsi="Arial" w:cs="Arial"/>
          <w:szCs w:val="24"/>
          <w:lang w:val="hr-HR"/>
        </w:rPr>
        <w:t xml:space="preserve"> u sklopu kojega su DVD-i u svim naseljima</w:t>
      </w:r>
      <w:r w:rsidR="00B33132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novac ide preko </w:t>
      </w:r>
      <w:r w:rsidR="009246C2">
        <w:rPr>
          <w:rFonts w:ascii="Arial" w:hAnsi="Arial" w:cs="Arial"/>
          <w:szCs w:val="24"/>
          <w:lang w:val="hr-HR"/>
        </w:rPr>
        <w:t>V</w:t>
      </w:r>
      <w:r>
        <w:rPr>
          <w:rFonts w:ascii="Arial" w:hAnsi="Arial" w:cs="Arial"/>
          <w:szCs w:val="24"/>
          <w:lang w:val="hr-HR"/>
        </w:rPr>
        <w:t xml:space="preserve">atrogasne zajednice gdje je  planirano </w:t>
      </w:r>
      <w:r w:rsidR="009246C2">
        <w:rPr>
          <w:rFonts w:ascii="Arial" w:hAnsi="Arial" w:cs="Arial"/>
          <w:szCs w:val="24"/>
          <w:lang w:val="hr-HR"/>
        </w:rPr>
        <w:t>80.000,00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B709F5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 i izvršeno </w:t>
      </w:r>
      <w:r w:rsidR="009246C2">
        <w:rPr>
          <w:rFonts w:ascii="Arial" w:hAnsi="Arial" w:cs="Arial"/>
          <w:szCs w:val="24"/>
          <w:lang w:val="hr-HR"/>
        </w:rPr>
        <w:t xml:space="preserve">39.999,96 </w:t>
      </w:r>
      <w:r w:rsidR="00B709F5">
        <w:rPr>
          <w:rFonts w:ascii="Arial" w:hAnsi="Arial" w:cs="Arial"/>
          <w:szCs w:val="24"/>
          <w:lang w:val="hr-HR"/>
        </w:rPr>
        <w:t>e</w:t>
      </w:r>
      <w:r w:rsidR="009246C2">
        <w:rPr>
          <w:rFonts w:ascii="Arial" w:hAnsi="Arial" w:cs="Arial"/>
          <w:szCs w:val="24"/>
          <w:lang w:val="hr-HR"/>
        </w:rPr>
        <w:t>ura</w:t>
      </w:r>
      <w:r w:rsidR="00B709F5">
        <w:rPr>
          <w:rFonts w:ascii="Arial" w:hAnsi="Arial" w:cs="Arial"/>
          <w:szCs w:val="24"/>
          <w:lang w:val="hr-HR"/>
        </w:rPr>
        <w:t xml:space="preserve"> (50,00%)</w:t>
      </w:r>
      <w:r>
        <w:rPr>
          <w:rFonts w:ascii="Arial" w:hAnsi="Arial" w:cs="Arial"/>
          <w:szCs w:val="24"/>
          <w:lang w:val="hr-HR"/>
        </w:rPr>
        <w:t xml:space="preserve">; civilna zaštita i spašavanje te HGSS gdje je ukupno planirano </w:t>
      </w:r>
      <w:r w:rsidR="009246C2">
        <w:rPr>
          <w:rFonts w:ascii="Arial" w:hAnsi="Arial" w:cs="Arial"/>
          <w:szCs w:val="24"/>
          <w:lang w:val="hr-HR"/>
        </w:rPr>
        <w:t>7.000,00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B709F5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B709F5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 xml:space="preserve">a </w:t>
      </w:r>
      <w:r w:rsidR="0062711B">
        <w:rPr>
          <w:rFonts w:ascii="Arial" w:hAnsi="Arial" w:cs="Arial"/>
          <w:szCs w:val="24"/>
          <w:lang w:val="hr-HR"/>
        </w:rPr>
        <w:t>ostvareno 0,00 eura</w:t>
      </w:r>
      <w:r w:rsidR="00B709F5">
        <w:rPr>
          <w:rFonts w:ascii="Arial" w:hAnsi="Arial" w:cs="Arial"/>
          <w:szCs w:val="24"/>
          <w:lang w:val="hr-HR"/>
        </w:rPr>
        <w:t xml:space="preserve">. </w:t>
      </w:r>
    </w:p>
    <w:p w14:paraId="01B85F86" w14:textId="7777777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</w:p>
    <w:p w14:paraId="193559A8" w14:textId="77777777" w:rsidR="008A069D" w:rsidRPr="00B709F5" w:rsidRDefault="008A069D" w:rsidP="008A069D">
      <w:pPr>
        <w:jc w:val="both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B709F5">
        <w:rPr>
          <w:rFonts w:ascii="Arial" w:hAnsi="Arial" w:cs="Arial"/>
          <w:b/>
          <w:bCs/>
          <w:szCs w:val="24"/>
          <w:lang w:val="hr-HR"/>
        </w:rPr>
        <w:t>2.3.3.2. Ostale gradske aktivnosti</w:t>
      </w:r>
    </w:p>
    <w:p w14:paraId="2EBD462F" w14:textId="30B5D347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225970">
        <w:rPr>
          <w:rFonts w:ascii="Arial" w:hAnsi="Arial" w:cs="Arial"/>
          <w:b/>
          <w:bCs/>
          <w:szCs w:val="24"/>
          <w:u w:val="single"/>
          <w:lang w:val="hr-HR"/>
        </w:rPr>
        <w:t>Program 1014 – Socijalna zaštita</w:t>
      </w:r>
      <w:r>
        <w:rPr>
          <w:rFonts w:ascii="Arial" w:hAnsi="Arial" w:cs="Arial"/>
          <w:szCs w:val="24"/>
          <w:lang w:val="hr-HR"/>
        </w:rPr>
        <w:t xml:space="preserve"> – ukupno planirana sredstva u visini od </w:t>
      </w:r>
      <w:r w:rsidR="00225970">
        <w:rPr>
          <w:rFonts w:ascii="Arial" w:hAnsi="Arial" w:cs="Arial"/>
          <w:szCs w:val="24"/>
          <w:lang w:val="hr-HR"/>
        </w:rPr>
        <w:t>435.700,00</w:t>
      </w:r>
      <w:r>
        <w:rPr>
          <w:rFonts w:ascii="Arial" w:hAnsi="Arial" w:cs="Arial"/>
          <w:szCs w:val="24"/>
          <w:lang w:val="hr-HR"/>
        </w:rPr>
        <w:t xml:space="preserve"> </w:t>
      </w:r>
      <w:r w:rsidR="00225970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ostvareno </w:t>
      </w:r>
      <w:r w:rsidR="00225970">
        <w:rPr>
          <w:rFonts w:ascii="Arial" w:hAnsi="Arial" w:cs="Arial"/>
          <w:szCs w:val="24"/>
          <w:lang w:val="hr-HR"/>
        </w:rPr>
        <w:t>105.805,45</w:t>
      </w:r>
      <w:r>
        <w:rPr>
          <w:rFonts w:ascii="Arial" w:hAnsi="Arial" w:cs="Arial"/>
          <w:szCs w:val="24"/>
          <w:lang w:val="hr-HR"/>
        </w:rPr>
        <w:t xml:space="preserve"> </w:t>
      </w:r>
      <w:r w:rsidR="00225970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225970">
        <w:rPr>
          <w:rFonts w:ascii="Arial" w:hAnsi="Arial" w:cs="Arial"/>
          <w:szCs w:val="24"/>
          <w:lang w:val="hr-HR"/>
        </w:rPr>
        <w:t xml:space="preserve"> (24,28%)</w:t>
      </w:r>
      <w:r>
        <w:rPr>
          <w:rFonts w:ascii="Arial" w:hAnsi="Arial" w:cs="Arial"/>
          <w:szCs w:val="24"/>
          <w:lang w:val="hr-HR"/>
        </w:rPr>
        <w:t>, a obuhvaća:</w:t>
      </w:r>
    </w:p>
    <w:p w14:paraId="2E3A3821" w14:textId="3D41C9AF" w:rsidR="008A069D" w:rsidRDefault="008A069D" w:rsidP="008A069D">
      <w:pPr>
        <w:numPr>
          <w:ilvl w:val="0"/>
          <w:numId w:val="3"/>
        </w:numPr>
        <w:ind w:left="1077" w:hanging="357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Pomoć socijalno ugroženom stanovništvu (troškovi stanovanja, jednokratne pomoći kućanstvima, uskrsnice  i božićnice za umirovljenike) u iznosu </w:t>
      </w:r>
      <w:r w:rsidR="00225970">
        <w:rPr>
          <w:rFonts w:ascii="Arial" w:hAnsi="Arial" w:cs="Arial"/>
          <w:szCs w:val="24"/>
          <w:lang w:val="hr-HR"/>
        </w:rPr>
        <w:t>32.083,07</w:t>
      </w:r>
      <w:r>
        <w:rPr>
          <w:rFonts w:ascii="Arial" w:hAnsi="Arial" w:cs="Arial"/>
          <w:szCs w:val="24"/>
          <w:lang w:val="hr-HR"/>
        </w:rPr>
        <w:t xml:space="preserve"> </w:t>
      </w:r>
      <w:r w:rsidR="00225970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</w:p>
    <w:p w14:paraId="0A880AEB" w14:textId="6A19A1A1" w:rsidR="008A069D" w:rsidRDefault="008A069D" w:rsidP="008A069D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Crveni križ koji obuhvaća tekuće donacije po zakonu i donacije za posebni program u ukupnom iznosu </w:t>
      </w:r>
      <w:r w:rsidR="00225970">
        <w:rPr>
          <w:rFonts w:ascii="Arial" w:hAnsi="Arial" w:cs="Arial"/>
          <w:szCs w:val="24"/>
          <w:lang w:val="hr-HR"/>
        </w:rPr>
        <w:t>13.500,00</w:t>
      </w:r>
      <w:r>
        <w:rPr>
          <w:rFonts w:ascii="Arial" w:hAnsi="Arial" w:cs="Arial"/>
          <w:szCs w:val="24"/>
          <w:lang w:val="hr-HR"/>
        </w:rPr>
        <w:t xml:space="preserve"> </w:t>
      </w:r>
      <w:r w:rsidR="00225970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</w:p>
    <w:p w14:paraId="201788B1" w14:textId="092EAE2E" w:rsidR="008A069D" w:rsidRDefault="008A069D" w:rsidP="008A069D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Tekuće donacije udrugama s područja socijalne zaštite i jednokratne aktivnosti udruga u socijalnoj zaštiti u iznosu 7.</w:t>
      </w:r>
      <w:r w:rsidR="00225970">
        <w:rPr>
          <w:rFonts w:ascii="Arial" w:hAnsi="Arial" w:cs="Arial"/>
          <w:szCs w:val="24"/>
          <w:lang w:val="hr-HR"/>
        </w:rPr>
        <w:t>1</w:t>
      </w:r>
      <w:r w:rsidR="009246C2">
        <w:rPr>
          <w:rFonts w:ascii="Arial" w:hAnsi="Arial" w:cs="Arial"/>
          <w:szCs w:val="24"/>
          <w:lang w:val="hr-HR"/>
        </w:rPr>
        <w:t>00,00</w:t>
      </w:r>
      <w:r>
        <w:rPr>
          <w:rFonts w:ascii="Arial" w:hAnsi="Arial" w:cs="Arial"/>
          <w:szCs w:val="24"/>
          <w:lang w:val="hr-HR"/>
        </w:rPr>
        <w:t xml:space="preserve"> </w:t>
      </w:r>
      <w:r w:rsidR="00225970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</w:p>
    <w:p w14:paraId="41E3A9AF" w14:textId="190FA643" w:rsidR="008A069D" w:rsidRDefault="008A069D" w:rsidP="008A069D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Obrazovanje gdje se nalaze potpore studentima u iznosu </w:t>
      </w:r>
      <w:r w:rsidR="00E6275C">
        <w:rPr>
          <w:rFonts w:ascii="Arial" w:hAnsi="Arial" w:cs="Arial"/>
          <w:szCs w:val="24"/>
          <w:lang w:val="hr-HR"/>
        </w:rPr>
        <w:t>30.460,16</w:t>
      </w:r>
      <w:r>
        <w:rPr>
          <w:rFonts w:ascii="Arial" w:hAnsi="Arial" w:cs="Arial"/>
          <w:szCs w:val="24"/>
          <w:lang w:val="hr-HR"/>
        </w:rPr>
        <w:t xml:space="preserve">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 i sufinanciranje prijevoza učenika u iznosu </w:t>
      </w:r>
      <w:r w:rsidR="009246C2">
        <w:rPr>
          <w:rFonts w:ascii="Arial" w:hAnsi="Arial" w:cs="Arial"/>
          <w:szCs w:val="24"/>
          <w:lang w:val="hr-HR"/>
        </w:rPr>
        <w:t>15.</w:t>
      </w:r>
      <w:r w:rsidR="00E6275C">
        <w:rPr>
          <w:rFonts w:ascii="Arial" w:hAnsi="Arial" w:cs="Arial"/>
          <w:szCs w:val="24"/>
          <w:lang w:val="hr-HR"/>
        </w:rPr>
        <w:t>300,80</w:t>
      </w:r>
      <w:r>
        <w:rPr>
          <w:rFonts w:ascii="Arial" w:hAnsi="Arial" w:cs="Arial"/>
          <w:szCs w:val="24"/>
          <w:lang w:val="hr-HR"/>
        </w:rPr>
        <w:t xml:space="preserve">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</w:p>
    <w:p w14:paraId="55F16352" w14:textId="110A9A58" w:rsidR="008A069D" w:rsidRDefault="008A069D" w:rsidP="008A069D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lastRenderedPageBreak/>
        <w:t xml:space="preserve">Pronatalitetna politika, odnosno tekuće donacije za novorođenu djecu u iznosu od </w:t>
      </w:r>
      <w:r w:rsidR="00E6275C">
        <w:rPr>
          <w:rFonts w:ascii="Arial" w:hAnsi="Arial" w:cs="Arial"/>
          <w:szCs w:val="24"/>
          <w:lang w:val="hr-HR"/>
        </w:rPr>
        <w:t>5.594,00</w:t>
      </w:r>
      <w:r>
        <w:rPr>
          <w:rFonts w:ascii="Arial" w:hAnsi="Arial" w:cs="Arial"/>
          <w:szCs w:val="24"/>
          <w:lang w:val="hr-HR"/>
        </w:rPr>
        <w:t xml:space="preserve">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</w:t>
      </w:r>
      <w:r w:rsidR="009246C2">
        <w:rPr>
          <w:rFonts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  <w:lang w:val="hr-HR"/>
        </w:rPr>
        <w:t xml:space="preserve">,  potpora za stambeno zbrinjavanje mladih u iznosu od </w:t>
      </w:r>
      <w:r w:rsidR="00E6275C">
        <w:rPr>
          <w:rFonts w:ascii="Arial" w:hAnsi="Arial" w:cs="Arial"/>
          <w:szCs w:val="24"/>
          <w:lang w:val="hr-HR"/>
        </w:rPr>
        <w:t>1.767,42 eura</w:t>
      </w:r>
      <w:r>
        <w:rPr>
          <w:rFonts w:ascii="Arial" w:hAnsi="Arial" w:cs="Arial"/>
          <w:szCs w:val="24"/>
          <w:lang w:val="hr-HR"/>
        </w:rPr>
        <w:t>.</w:t>
      </w:r>
    </w:p>
    <w:p w14:paraId="287C208D" w14:textId="77777777" w:rsidR="008A069D" w:rsidRDefault="008A069D" w:rsidP="00B33132">
      <w:pPr>
        <w:ind w:left="1080"/>
        <w:jc w:val="both"/>
        <w:rPr>
          <w:rFonts w:ascii="Arial" w:hAnsi="Arial" w:cs="Arial"/>
          <w:szCs w:val="24"/>
          <w:lang w:val="hr-HR"/>
        </w:rPr>
      </w:pPr>
    </w:p>
    <w:p w14:paraId="3CF979F2" w14:textId="13FFA20E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E6275C">
        <w:rPr>
          <w:rFonts w:ascii="Arial" w:hAnsi="Arial" w:cs="Arial"/>
          <w:b/>
          <w:bCs/>
          <w:szCs w:val="24"/>
          <w:u w:val="single"/>
          <w:lang w:val="hr-HR"/>
        </w:rPr>
        <w:t>Program 1015 – Ostale udruge</w:t>
      </w:r>
      <w:r>
        <w:rPr>
          <w:rFonts w:ascii="Arial" w:hAnsi="Arial" w:cs="Arial"/>
          <w:szCs w:val="24"/>
          <w:lang w:val="hr-HR"/>
        </w:rPr>
        <w:t xml:space="preserve"> gdje je planirano </w:t>
      </w:r>
      <w:r w:rsidR="00E6275C">
        <w:rPr>
          <w:rFonts w:ascii="Arial" w:hAnsi="Arial" w:cs="Arial"/>
          <w:szCs w:val="24"/>
          <w:lang w:val="hr-HR"/>
        </w:rPr>
        <w:t>8</w:t>
      </w:r>
      <w:r>
        <w:rPr>
          <w:rFonts w:ascii="Arial" w:hAnsi="Arial" w:cs="Arial"/>
          <w:szCs w:val="24"/>
          <w:lang w:val="hr-HR"/>
        </w:rPr>
        <w:t>6.</w:t>
      </w:r>
      <w:r w:rsidR="009246C2">
        <w:rPr>
          <w:rFonts w:ascii="Arial" w:hAnsi="Arial" w:cs="Arial"/>
          <w:szCs w:val="24"/>
          <w:lang w:val="hr-HR"/>
        </w:rPr>
        <w:t>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 i utrošeno </w:t>
      </w:r>
      <w:r w:rsidR="00E6275C">
        <w:rPr>
          <w:rFonts w:ascii="Arial" w:hAnsi="Arial" w:cs="Arial"/>
          <w:szCs w:val="24"/>
          <w:lang w:val="hr-HR"/>
        </w:rPr>
        <w:t>62</w:t>
      </w:r>
      <w:r w:rsidR="009246C2">
        <w:rPr>
          <w:rFonts w:ascii="Arial" w:hAnsi="Arial" w:cs="Arial"/>
          <w:szCs w:val="24"/>
          <w:lang w:val="hr-HR"/>
        </w:rPr>
        <w:t>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E6275C">
        <w:rPr>
          <w:rFonts w:ascii="Arial" w:hAnsi="Arial" w:cs="Arial"/>
          <w:szCs w:val="24"/>
          <w:lang w:val="hr-HR"/>
        </w:rPr>
        <w:t xml:space="preserve"> (72,09%)</w:t>
      </w:r>
      <w:r>
        <w:rPr>
          <w:rFonts w:ascii="Arial" w:hAnsi="Arial" w:cs="Arial"/>
          <w:szCs w:val="24"/>
          <w:lang w:val="hr-HR"/>
        </w:rPr>
        <w:t xml:space="preserve">, a u koje spadaju ostale udruge i jednokratne aktivnosti u iznosu od </w:t>
      </w:r>
      <w:r w:rsidR="00E6275C">
        <w:rPr>
          <w:rFonts w:ascii="Arial" w:hAnsi="Arial" w:cs="Arial"/>
          <w:szCs w:val="24"/>
          <w:lang w:val="hr-HR"/>
        </w:rPr>
        <w:t>21</w:t>
      </w:r>
      <w:r w:rsidR="009246C2">
        <w:rPr>
          <w:rFonts w:ascii="Arial" w:hAnsi="Arial" w:cs="Arial"/>
          <w:szCs w:val="24"/>
          <w:lang w:val="hr-HR"/>
        </w:rPr>
        <w:t>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ura, </w:t>
      </w:r>
      <w:r w:rsidR="00E6275C">
        <w:rPr>
          <w:rFonts w:ascii="Arial" w:hAnsi="Arial" w:cs="Arial"/>
          <w:szCs w:val="24"/>
          <w:lang w:val="hr-HR"/>
        </w:rPr>
        <w:t>T</w:t>
      </w:r>
      <w:r>
        <w:rPr>
          <w:rFonts w:ascii="Arial" w:hAnsi="Arial" w:cs="Arial"/>
          <w:szCs w:val="24"/>
          <w:lang w:val="hr-HR"/>
        </w:rPr>
        <w:t xml:space="preserve">uristička zajednica </w:t>
      </w:r>
      <w:r w:rsidR="00E6275C">
        <w:rPr>
          <w:rFonts w:ascii="Arial" w:hAnsi="Arial" w:cs="Arial"/>
          <w:szCs w:val="24"/>
          <w:lang w:val="hr-HR"/>
        </w:rPr>
        <w:t>21</w:t>
      </w:r>
      <w:r w:rsidR="009246C2">
        <w:rPr>
          <w:rFonts w:ascii="Arial" w:hAnsi="Arial" w:cs="Arial"/>
          <w:szCs w:val="24"/>
          <w:lang w:val="hr-HR"/>
        </w:rPr>
        <w:t>.000,00</w:t>
      </w:r>
      <w:r>
        <w:rPr>
          <w:rFonts w:ascii="Arial" w:hAnsi="Arial" w:cs="Arial"/>
          <w:szCs w:val="24"/>
          <w:lang w:val="hr-HR"/>
        </w:rPr>
        <w:t xml:space="preserve">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 te</w:t>
      </w:r>
      <w:r w:rsidR="00E6275C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vjerske zajednice sa iznosom </w:t>
      </w:r>
      <w:r w:rsidR="00E6275C">
        <w:rPr>
          <w:rFonts w:ascii="Arial" w:hAnsi="Arial" w:cs="Arial"/>
          <w:szCs w:val="24"/>
          <w:lang w:val="hr-HR"/>
        </w:rPr>
        <w:t xml:space="preserve">od 31.600,00 eura </w:t>
      </w:r>
      <w:r>
        <w:rPr>
          <w:rFonts w:ascii="Arial" w:hAnsi="Arial" w:cs="Arial"/>
          <w:szCs w:val="24"/>
          <w:lang w:val="hr-HR"/>
        </w:rPr>
        <w:t>.</w:t>
      </w:r>
    </w:p>
    <w:p w14:paraId="7CA5F46C" w14:textId="77777777" w:rsidR="00E6275C" w:rsidRDefault="00E6275C" w:rsidP="008A069D">
      <w:pPr>
        <w:jc w:val="both"/>
        <w:rPr>
          <w:rFonts w:ascii="Arial" w:hAnsi="Arial" w:cs="Arial"/>
          <w:szCs w:val="24"/>
          <w:u w:val="single"/>
          <w:lang w:val="hr-HR"/>
        </w:rPr>
      </w:pPr>
    </w:p>
    <w:p w14:paraId="49C7FFA5" w14:textId="3A24AB0F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E6275C">
        <w:rPr>
          <w:rFonts w:ascii="Arial" w:hAnsi="Arial" w:cs="Arial"/>
          <w:b/>
          <w:bCs/>
          <w:szCs w:val="24"/>
          <w:u w:val="single"/>
          <w:lang w:val="hr-HR"/>
        </w:rPr>
        <w:t>Program 1016 – Službe emitiranja i izdavanja</w:t>
      </w:r>
      <w:r>
        <w:rPr>
          <w:rFonts w:ascii="Arial" w:hAnsi="Arial" w:cs="Arial"/>
          <w:szCs w:val="24"/>
          <w:lang w:val="hr-HR"/>
        </w:rPr>
        <w:t xml:space="preserve"> u kojem je R</w:t>
      </w:r>
      <w:r w:rsidR="00E6275C">
        <w:rPr>
          <w:rFonts w:ascii="Arial" w:hAnsi="Arial" w:cs="Arial"/>
          <w:szCs w:val="24"/>
          <w:lang w:val="hr-HR"/>
        </w:rPr>
        <w:t>adio Donji Miholjac</w:t>
      </w:r>
      <w:r>
        <w:rPr>
          <w:rFonts w:ascii="Arial" w:hAnsi="Arial" w:cs="Arial"/>
          <w:szCs w:val="24"/>
          <w:lang w:val="hr-HR"/>
        </w:rPr>
        <w:t xml:space="preserve"> sa ukupno 26.544,60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 planiranih sredstava i utrošenih isto toliko.</w:t>
      </w:r>
    </w:p>
    <w:p w14:paraId="43DE3B5E" w14:textId="77777777" w:rsidR="00E75649" w:rsidRDefault="00E75649" w:rsidP="008A069D">
      <w:pPr>
        <w:jc w:val="both"/>
        <w:rPr>
          <w:rFonts w:ascii="Arial" w:hAnsi="Arial" w:cs="Arial"/>
          <w:b/>
          <w:bCs/>
          <w:szCs w:val="24"/>
          <w:u w:val="single"/>
          <w:lang w:val="hr-HR"/>
        </w:rPr>
      </w:pPr>
    </w:p>
    <w:p w14:paraId="18A748C4" w14:textId="1ED15D39" w:rsidR="008A069D" w:rsidRDefault="008A069D" w:rsidP="008A069D">
      <w:pPr>
        <w:jc w:val="both"/>
        <w:rPr>
          <w:rFonts w:ascii="Arial" w:hAnsi="Arial" w:cs="Arial"/>
          <w:szCs w:val="24"/>
          <w:lang w:val="hr-HR"/>
        </w:rPr>
      </w:pPr>
      <w:r w:rsidRPr="00E6275C">
        <w:rPr>
          <w:rFonts w:ascii="Arial" w:hAnsi="Arial" w:cs="Arial"/>
          <w:b/>
          <w:bCs/>
          <w:szCs w:val="24"/>
          <w:u w:val="single"/>
          <w:lang w:val="hr-HR"/>
        </w:rPr>
        <w:t>Program 1017 – Otklanjanje posljedica elementarnih nepogoda</w:t>
      </w:r>
      <w:r>
        <w:rPr>
          <w:rFonts w:ascii="Arial" w:hAnsi="Arial" w:cs="Arial"/>
          <w:szCs w:val="24"/>
          <w:lang w:val="hr-HR"/>
        </w:rPr>
        <w:t xml:space="preserve"> gdje su planirana sredstva za ublažavanje šteta od elementarnih nepogoda sa planom od 7.</w:t>
      </w:r>
      <w:r w:rsidR="009246C2">
        <w:rPr>
          <w:rFonts w:ascii="Arial" w:hAnsi="Arial" w:cs="Arial"/>
          <w:szCs w:val="24"/>
          <w:lang w:val="hr-HR"/>
        </w:rPr>
        <w:t>700,00</w:t>
      </w:r>
      <w:r>
        <w:rPr>
          <w:rFonts w:ascii="Arial" w:hAnsi="Arial" w:cs="Arial"/>
          <w:szCs w:val="24"/>
          <w:lang w:val="hr-HR"/>
        </w:rPr>
        <w:t xml:space="preserve"> </w:t>
      </w:r>
      <w:r w:rsidR="00E6275C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  <w:r w:rsidR="002B6FD4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34B2A378" w14:textId="77777777" w:rsidR="008A069D" w:rsidRDefault="008A069D" w:rsidP="00034BF9">
      <w:pPr>
        <w:jc w:val="both"/>
        <w:rPr>
          <w:rFonts w:ascii="Arial" w:hAnsi="Arial" w:cs="Arial"/>
          <w:szCs w:val="24"/>
          <w:lang w:val="hr-HR"/>
        </w:rPr>
      </w:pPr>
    </w:p>
    <w:p w14:paraId="3E77CD67" w14:textId="77777777" w:rsidR="009F5ACD" w:rsidRDefault="009F5ACD" w:rsidP="00034BF9">
      <w:pPr>
        <w:jc w:val="both"/>
        <w:rPr>
          <w:rFonts w:ascii="Arial" w:hAnsi="Arial" w:cs="Arial"/>
          <w:szCs w:val="24"/>
          <w:lang w:val="hr-HR"/>
        </w:rPr>
      </w:pPr>
    </w:p>
    <w:p w14:paraId="1F0E3D2C" w14:textId="75A5C2E9" w:rsidR="00176FD8" w:rsidRDefault="00375424" w:rsidP="00176FD8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2</w:t>
      </w:r>
      <w:r w:rsidR="00176FD8">
        <w:rPr>
          <w:rFonts w:ascii="Arial" w:hAnsi="Arial" w:cs="Arial"/>
          <w:b/>
          <w:szCs w:val="24"/>
          <w:lang w:val="hr-HR"/>
        </w:rPr>
        <w:t>.</w:t>
      </w:r>
      <w:r w:rsidR="008A069D">
        <w:rPr>
          <w:rFonts w:ascii="Arial" w:hAnsi="Arial" w:cs="Arial"/>
          <w:b/>
          <w:szCs w:val="24"/>
          <w:lang w:val="hr-HR"/>
        </w:rPr>
        <w:t>3</w:t>
      </w:r>
      <w:r>
        <w:rPr>
          <w:rFonts w:ascii="Arial" w:hAnsi="Arial" w:cs="Arial"/>
          <w:b/>
          <w:szCs w:val="24"/>
          <w:lang w:val="hr-HR"/>
        </w:rPr>
        <w:t>.</w:t>
      </w:r>
      <w:r w:rsidR="00176FD8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Struktura po grupama</w:t>
      </w:r>
    </w:p>
    <w:p w14:paraId="004D78D0" w14:textId="77777777" w:rsidR="00176FD8" w:rsidRDefault="00176FD8" w:rsidP="00176FD8">
      <w:pPr>
        <w:jc w:val="both"/>
        <w:rPr>
          <w:rFonts w:ascii="Arial" w:hAnsi="Arial" w:cs="Arial"/>
          <w:szCs w:val="24"/>
          <w:lang w:val="hr-HR"/>
        </w:rPr>
      </w:pPr>
    </w:p>
    <w:p w14:paraId="6C68F19D" w14:textId="502E1200" w:rsidR="0062679D" w:rsidRDefault="00176FD8" w:rsidP="00375424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hr-HR"/>
        </w:rPr>
        <w:tab/>
      </w:r>
      <w:r w:rsidR="00010809">
        <w:rPr>
          <w:rFonts w:ascii="Arial" w:hAnsi="Arial" w:cs="Arial"/>
        </w:rPr>
        <w:t>Uz sadržaj propisan člancima 13.,</w:t>
      </w:r>
      <w:r w:rsidR="004B17B4">
        <w:rPr>
          <w:rFonts w:ascii="Arial" w:hAnsi="Arial" w:cs="Arial"/>
        </w:rPr>
        <w:t xml:space="preserve"> </w:t>
      </w:r>
      <w:r w:rsidR="00010809">
        <w:rPr>
          <w:rFonts w:ascii="Arial" w:hAnsi="Arial" w:cs="Arial"/>
        </w:rPr>
        <w:t>14., 15.</w:t>
      </w:r>
      <w:r w:rsidR="00DD6561">
        <w:rPr>
          <w:rFonts w:ascii="Arial" w:hAnsi="Arial" w:cs="Arial"/>
        </w:rPr>
        <w:t>,</w:t>
      </w:r>
      <w:r w:rsidR="00010809">
        <w:rPr>
          <w:rFonts w:ascii="Arial" w:hAnsi="Arial" w:cs="Arial"/>
        </w:rPr>
        <w:t xml:space="preserve"> 16.</w:t>
      </w:r>
      <w:r w:rsidR="00DD6561">
        <w:rPr>
          <w:rFonts w:ascii="Arial" w:hAnsi="Arial" w:cs="Arial"/>
        </w:rPr>
        <w:t>, 17. i 18.</w:t>
      </w:r>
      <w:r w:rsidR="00010809">
        <w:rPr>
          <w:rFonts w:ascii="Arial" w:hAnsi="Arial" w:cs="Arial"/>
        </w:rPr>
        <w:t xml:space="preserve"> Pravilnika o financijskom izvještavanju</w:t>
      </w:r>
      <w:r w:rsidR="003849A2">
        <w:rPr>
          <w:rFonts w:ascii="Arial" w:hAnsi="Arial" w:cs="Arial"/>
        </w:rPr>
        <w:t xml:space="preserve">, </w:t>
      </w:r>
      <w:r w:rsidR="004B17B4">
        <w:rPr>
          <w:rFonts w:ascii="Arial" w:hAnsi="Arial" w:cs="Arial"/>
        </w:rPr>
        <w:t xml:space="preserve"> </w:t>
      </w:r>
      <w:r w:rsidR="0062679D">
        <w:rPr>
          <w:rFonts w:ascii="Arial" w:hAnsi="Arial" w:cs="Arial"/>
        </w:rPr>
        <w:t>daje se:</w:t>
      </w:r>
    </w:p>
    <w:p w14:paraId="1109F299" w14:textId="77777777" w:rsidR="00C240C2" w:rsidRDefault="00C240C2" w:rsidP="0001080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10809">
        <w:rPr>
          <w:rFonts w:ascii="Arial" w:hAnsi="Arial" w:cs="Arial"/>
        </w:rPr>
        <w:t xml:space="preserve"> pregled strukture manjka/viška po proračunskim korisnicima;</w:t>
      </w:r>
    </w:p>
    <w:p w14:paraId="45AC940D" w14:textId="77777777" w:rsidR="00C240C2" w:rsidRDefault="00C240C2" w:rsidP="0001080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10809">
        <w:rPr>
          <w:rFonts w:ascii="Arial" w:hAnsi="Arial" w:cs="Arial"/>
        </w:rPr>
        <w:t xml:space="preserve"> manjak ili višak u poslovanju grupe ako je ostvaren</w:t>
      </w:r>
      <w:r>
        <w:rPr>
          <w:rFonts w:ascii="Arial" w:hAnsi="Arial" w:cs="Arial"/>
        </w:rPr>
        <w:t>;</w:t>
      </w:r>
    </w:p>
    <w:p w14:paraId="08B8809B" w14:textId="77777777" w:rsidR="00010809" w:rsidRDefault="00C240C2" w:rsidP="0001080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10809">
        <w:rPr>
          <w:rFonts w:ascii="Arial" w:hAnsi="Arial" w:cs="Arial"/>
        </w:rPr>
        <w:t xml:space="preserve"> te unutargrupne transakcije koje su u izvještajima eliminirane.</w:t>
      </w:r>
    </w:p>
    <w:p w14:paraId="292A7188" w14:textId="77777777" w:rsidR="0052745E" w:rsidRDefault="0052745E" w:rsidP="00010809">
      <w:pPr>
        <w:rPr>
          <w:rFonts w:ascii="Arial" w:hAnsi="Arial" w:cs="Arial"/>
        </w:rPr>
      </w:pPr>
    </w:p>
    <w:p w14:paraId="5C524339" w14:textId="3F9D5D15" w:rsidR="00D41110" w:rsidRDefault="00D41110" w:rsidP="00D411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se daje t</w:t>
      </w:r>
      <w:r w:rsidR="004B17B4">
        <w:rPr>
          <w:rFonts w:ascii="Arial" w:hAnsi="Arial" w:cs="Arial"/>
        </w:rPr>
        <w:t>ablica</w:t>
      </w:r>
      <w:r>
        <w:rPr>
          <w:rFonts w:ascii="Arial" w:hAnsi="Arial" w:cs="Arial"/>
        </w:rPr>
        <w:t xml:space="preserve"> skraćenog obrasca PR-R</w:t>
      </w:r>
      <w:r w:rsidR="00CC18C8">
        <w:rPr>
          <w:rFonts w:ascii="Arial" w:hAnsi="Arial" w:cs="Arial"/>
        </w:rPr>
        <w:t>AS</w:t>
      </w:r>
      <w:r w:rsidR="00D6769C">
        <w:rPr>
          <w:rFonts w:ascii="Arial" w:hAnsi="Arial" w:cs="Arial"/>
        </w:rPr>
        <w:t xml:space="preserve"> konsolidirano,</w:t>
      </w:r>
      <w:r>
        <w:rPr>
          <w:rFonts w:ascii="Arial" w:hAnsi="Arial" w:cs="Arial"/>
        </w:rPr>
        <w:t xml:space="preserve"> gdje se vide transakcije koje se eliminiraju i struktura viška/manjka po svakom korisniku i ukupno</w:t>
      </w:r>
      <w:r w:rsidR="004B17B4">
        <w:rPr>
          <w:rFonts w:ascii="Arial" w:hAnsi="Arial" w:cs="Arial"/>
        </w:rPr>
        <w:t>:</w:t>
      </w:r>
    </w:p>
    <w:p w14:paraId="71C9B1EA" w14:textId="77777777" w:rsidR="001A32E5" w:rsidRDefault="001A32E5" w:rsidP="00D41110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03"/>
        <w:gridCol w:w="1623"/>
        <w:gridCol w:w="1652"/>
      </w:tblGrid>
      <w:tr w:rsidR="00D41110" w:rsidRPr="00C007A2" w14:paraId="379CA17B" w14:textId="77777777" w:rsidTr="005B18EC">
        <w:trPr>
          <w:trHeight w:val="463"/>
        </w:trPr>
        <w:tc>
          <w:tcPr>
            <w:tcW w:w="1384" w:type="dxa"/>
          </w:tcPr>
          <w:p w14:paraId="575912AA" w14:textId="77777777" w:rsidR="00D41110" w:rsidRPr="00C007A2" w:rsidRDefault="00D41110" w:rsidP="005B18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2DDF40" w14:textId="77777777" w:rsidR="00D41110" w:rsidRPr="00B10E8E" w:rsidRDefault="00D41110" w:rsidP="005B18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0E8E">
              <w:rPr>
                <w:rFonts w:ascii="Arial" w:hAnsi="Arial" w:cs="Arial"/>
                <w:b/>
                <w:sz w:val="20"/>
              </w:rPr>
              <w:t>GRAD</w:t>
            </w:r>
          </w:p>
        </w:tc>
        <w:tc>
          <w:tcPr>
            <w:tcW w:w="1701" w:type="dxa"/>
            <w:vAlign w:val="center"/>
          </w:tcPr>
          <w:p w14:paraId="6DDA4568" w14:textId="30C3496B" w:rsidR="00D41110" w:rsidRPr="00B10E8E" w:rsidRDefault="00CC18C8" w:rsidP="005B18E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DJEČJI VRTIĆ  </w:t>
            </w:r>
            <w:r w:rsidR="00D41110" w:rsidRPr="00B10E8E">
              <w:rPr>
                <w:rFonts w:ascii="Arial" w:hAnsi="Arial" w:cs="Arial"/>
                <w:b/>
                <w:sz w:val="20"/>
              </w:rPr>
              <w:t>PINOKIO</w:t>
            </w:r>
          </w:p>
        </w:tc>
        <w:tc>
          <w:tcPr>
            <w:tcW w:w="1403" w:type="dxa"/>
            <w:vAlign w:val="center"/>
          </w:tcPr>
          <w:p w14:paraId="69A59898" w14:textId="203CB807" w:rsidR="00D41110" w:rsidRPr="00B10E8E" w:rsidRDefault="00CC18C8" w:rsidP="005B18E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GRADSKA </w:t>
            </w:r>
            <w:r w:rsidR="00D41110" w:rsidRPr="00B10E8E">
              <w:rPr>
                <w:rFonts w:ascii="Arial" w:hAnsi="Arial" w:cs="Arial"/>
                <w:b/>
                <w:sz w:val="20"/>
              </w:rPr>
              <w:t>KNJIŽNICA</w:t>
            </w:r>
          </w:p>
        </w:tc>
        <w:tc>
          <w:tcPr>
            <w:tcW w:w="1623" w:type="dxa"/>
            <w:vAlign w:val="center"/>
          </w:tcPr>
          <w:p w14:paraId="10DBFC21" w14:textId="77777777" w:rsidR="00D41110" w:rsidRPr="00B10E8E" w:rsidRDefault="00D41110" w:rsidP="005B18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0E8E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1652" w:type="dxa"/>
            <w:vAlign w:val="center"/>
          </w:tcPr>
          <w:p w14:paraId="62642998" w14:textId="77777777" w:rsidR="00D41110" w:rsidRPr="00B10E8E" w:rsidRDefault="00D41110" w:rsidP="005B18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0E8E">
              <w:rPr>
                <w:rFonts w:ascii="Arial" w:hAnsi="Arial" w:cs="Arial"/>
                <w:b/>
                <w:sz w:val="20"/>
              </w:rPr>
              <w:t>OSTAJE</w:t>
            </w:r>
          </w:p>
        </w:tc>
      </w:tr>
      <w:tr w:rsidR="00D41110" w:rsidRPr="00C007A2" w14:paraId="760F077D" w14:textId="77777777" w:rsidTr="005B18EC">
        <w:tc>
          <w:tcPr>
            <w:tcW w:w="1384" w:type="dxa"/>
          </w:tcPr>
          <w:p w14:paraId="0EEBCFCB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 xml:space="preserve"> 6-prihodi poslovanja</w:t>
            </w:r>
          </w:p>
        </w:tc>
        <w:tc>
          <w:tcPr>
            <w:tcW w:w="1701" w:type="dxa"/>
            <w:vAlign w:val="center"/>
          </w:tcPr>
          <w:p w14:paraId="078F45A3" w14:textId="56C387F0" w:rsidR="00D41110" w:rsidRPr="000B751D" w:rsidRDefault="00CC18C8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3.028.536,70</w:t>
            </w:r>
          </w:p>
        </w:tc>
        <w:tc>
          <w:tcPr>
            <w:tcW w:w="1701" w:type="dxa"/>
            <w:vAlign w:val="center"/>
          </w:tcPr>
          <w:p w14:paraId="1E6F3C1C" w14:textId="5C529EFA" w:rsidR="00D41110" w:rsidRPr="000B751D" w:rsidRDefault="00CC18C8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807.095,79</w:t>
            </w:r>
          </w:p>
        </w:tc>
        <w:tc>
          <w:tcPr>
            <w:tcW w:w="1403" w:type="dxa"/>
            <w:vAlign w:val="center"/>
          </w:tcPr>
          <w:p w14:paraId="2C61B2FF" w14:textId="1F0184F7" w:rsidR="00D41110" w:rsidRPr="000B751D" w:rsidRDefault="00CC18C8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57.574,92</w:t>
            </w:r>
          </w:p>
        </w:tc>
        <w:tc>
          <w:tcPr>
            <w:tcW w:w="1623" w:type="dxa"/>
            <w:vAlign w:val="center"/>
          </w:tcPr>
          <w:p w14:paraId="3B1CBCA6" w14:textId="25BE6685" w:rsidR="00D41110" w:rsidRPr="000B751D" w:rsidRDefault="00CC18C8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3.893.207,41</w:t>
            </w:r>
          </w:p>
        </w:tc>
        <w:tc>
          <w:tcPr>
            <w:tcW w:w="1652" w:type="dxa"/>
            <w:vMerge w:val="restart"/>
            <w:vAlign w:val="center"/>
          </w:tcPr>
          <w:p w14:paraId="587E083E" w14:textId="47DE6EC0" w:rsidR="00D41110" w:rsidRPr="000B751D" w:rsidRDefault="00B46DA9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CC18C8">
              <w:rPr>
                <w:rFonts w:ascii="Arial" w:hAnsi="Arial" w:cs="Arial"/>
                <w:sz w:val="20"/>
              </w:rPr>
              <w:t>298.936,10</w:t>
            </w:r>
          </w:p>
        </w:tc>
      </w:tr>
      <w:tr w:rsidR="00D41110" w:rsidRPr="00C007A2" w14:paraId="3AC36A35" w14:textId="77777777" w:rsidTr="005B18EC">
        <w:tc>
          <w:tcPr>
            <w:tcW w:w="1384" w:type="dxa"/>
            <w:vAlign w:val="center"/>
          </w:tcPr>
          <w:p w14:paraId="399F45DD" w14:textId="77777777" w:rsidR="00D41110" w:rsidRDefault="00D41110" w:rsidP="005B18EC">
            <w:pPr>
              <w:jc w:val="center"/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>-67</w:t>
            </w:r>
            <w:r>
              <w:rPr>
                <w:rFonts w:ascii="Arial" w:hAnsi="Arial" w:cs="Arial"/>
                <w:sz w:val="20"/>
              </w:rPr>
              <w:t>1</w:t>
            </w:r>
            <w:r w:rsidRPr="000B751D">
              <w:rPr>
                <w:rFonts w:ascii="Arial" w:hAnsi="Arial" w:cs="Arial"/>
                <w:sz w:val="20"/>
              </w:rPr>
              <w:t>prijenosi</w:t>
            </w:r>
          </w:p>
          <w:p w14:paraId="2E480814" w14:textId="77777777" w:rsidR="00D41110" w:rsidRPr="000B751D" w:rsidRDefault="00D41110" w:rsidP="005B18E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6AA41C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268C88" w14:textId="23F6C9B5" w:rsidR="00D41110" w:rsidRPr="000B751D" w:rsidRDefault="00527D6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CC18C8">
              <w:rPr>
                <w:rFonts w:ascii="Arial" w:hAnsi="Arial" w:cs="Arial"/>
                <w:sz w:val="20"/>
              </w:rPr>
              <w:t>553.471,57</w:t>
            </w:r>
          </w:p>
        </w:tc>
        <w:tc>
          <w:tcPr>
            <w:tcW w:w="1403" w:type="dxa"/>
            <w:vAlign w:val="center"/>
          </w:tcPr>
          <w:p w14:paraId="5BEA0663" w14:textId="71A3E417" w:rsidR="00D41110" w:rsidRPr="000B751D" w:rsidRDefault="00010E81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CC18C8">
              <w:rPr>
                <w:rFonts w:ascii="Arial" w:hAnsi="Arial" w:cs="Arial"/>
                <w:sz w:val="20"/>
              </w:rPr>
              <w:t>40.799,74</w:t>
            </w:r>
          </w:p>
        </w:tc>
        <w:tc>
          <w:tcPr>
            <w:tcW w:w="1623" w:type="dxa"/>
            <w:vAlign w:val="center"/>
          </w:tcPr>
          <w:p w14:paraId="3C03DAA8" w14:textId="735EE007" w:rsidR="00D41110" w:rsidRPr="000B751D" w:rsidRDefault="00010E81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050750">
              <w:rPr>
                <w:rFonts w:ascii="Arial" w:hAnsi="Arial" w:cs="Arial"/>
                <w:sz w:val="20"/>
              </w:rPr>
              <w:t>594.271,31</w:t>
            </w:r>
          </w:p>
        </w:tc>
        <w:tc>
          <w:tcPr>
            <w:tcW w:w="1652" w:type="dxa"/>
            <w:vMerge/>
            <w:vAlign w:val="center"/>
          </w:tcPr>
          <w:p w14:paraId="7AE83EF0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41110" w:rsidRPr="00C007A2" w14:paraId="078366CF" w14:textId="77777777" w:rsidTr="005B18EC">
        <w:tc>
          <w:tcPr>
            <w:tcW w:w="1384" w:type="dxa"/>
          </w:tcPr>
          <w:p w14:paraId="75CE582E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>7-prihodi od nefinancijske imovine</w:t>
            </w:r>
          </w:p>
        </w:tc>
        <w:tc>
          <w:tcPr>
            <w:tcW w:w="1701" w:type="dxa"/>
            <w:vAlign w:val="center"/>
          </w:tcPr>
          <w:p w14:paraId="0819D041" w14:textId="7BD20808" w:rsidR="00D41110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8.418,78</w:t>
            </w:r>
          </w:p>
          <w:p w14:paraId="615704AF" w14:textId="77777777" w:rsidR="00E33B78" w:rsidRPr="000B751D" w:rsidRDefault="00E33B78" w:rsidP="00E33B7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25B9AD1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vAlign w:val="center"/>
          </w:tcPr>
          <w:p w14:paraId="6F4F3DAF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4DFE42C8" w14:textId="22B479F8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8.418,78</w:t>
            </w:r>
          </w:p>
        </w:tc>
        <w:tc>
          <w:tcPr>
            <w:tcW w:w="1652" w:type="dxa"/>
            <w:vAlign w:val="center"/>
          </w:tcPr>
          <w:p w14:paraId="2E54D530" w14:textId="455B09DF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8.418,78</w:t>
            </w:r>
          </w:p>
        </w:tc>
      </w:tr>
      <w:tr w:rsidR="00D41110" w:rsidRPr="00C007A2" w14:paraId="2475F90C" w14:textId="77777777" w:rsidTr="005B18EC">
        <w:tc>
          <w:tcPr>
            <w:tcW w:w="1384" w:type="dxa"/>
          </w:tcPr>
          <w:p w14:paraId="570BDAE8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>8-primici od zaduživ.i fin.imovine</w:t>
            </w:r>
          </w:p>
        </w:tc>
        <w:tc>
          <w:tcPr>
            <w:tcW w:w="1701" w:type="dxa"/>
            <w:vAlign w:val="center"/>
          </w:tcPr>
          <w:p w14:paraId="7CD9C999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  <w:vAlign w:val="center"/>
          </w:tcPr>
          <w:p w14:paraId="4A17F22F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vAlign w:val="center"/>
          </w:tcPr>
          <w:p w14:paraId="13B2DBCE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4FA7226F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652" w:type="dxa"/>
            <w:vAlign w:val="center"/>
          </w:tcPr>
          <w:p w14:paraId="59E0E9CB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41110" w:rsidRPr="00C007A2" w14:paraId="22D22AE0" w14:textId="77777777" w:rsidTr="005B18EC">
        <w:tc>
          <w:tcPr>
            <w:tcW w:w="1384" w:type="dxa"/>
          </w:tcPr>
          <w:p w14:paraId="5CE01534" w14:textId="77777777" w:rsidR="00D41110" w:rsidRPr="009406C2" w:rsidRDefault="00D41110" w:rsidP="005B18EC">
            <w:pPr>
              <w:rPr>
                <w:rFonts w:ascii="Arial" w:hAnsi="Arial" w:cs="Arial"/>
                <w:b/>
                <w:sz w:val="20"/>
              </w:rPr>
            </w:pPr>
            <w:r w:rsidRPr="009406C2">
              <w:rPr>
                <w:rFonts w:ascii="Arial" w:hAnsi="Arial" w:cs="Arial"/>
                <w:b/>
                <w:sz w:val="20"/>
              </w:rPr>
              <w:t>UKUPNO prihodi i primici</w:t>
            </w:r>
          </w:p>
        </w:tc>
        <w:tc>
          <w:tcPr>
            <w:tcW w:w="1701" w:type="dxa"/>
            <w:vAlign w:val="center"/>
          </w:tcPr>
          <w:p w14:paraId="1B9A4F8C" w14:textId="6572D03A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3.036.955,48</w:t>
            </w:r>
          </w:p>
        </w:tc>
        <w:tc>
          <w:tcPr>
            <w:tcW w:w="1701" w:type="dxa"/>
            <w:vAlign w:val="center"/>
          </w:tcPr>
          <w:p w14:paraId="09EA77AB" w14:textId="6BFD0902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807.095,79</w:t>
            </w:r>
          </w:p>
        </w:tc>
        <w:tc>
          <w:tcPr>
            <w:tcW w:w="1403" w:type="dxa"/>
            <w:vAlign w:val="center"/>
          </w:tcPr>
          <w:p w14:paraId="02FD8B61" w14:textId="5AD89D34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57.574,92</w:t>
            </w:r>
          </w:p>
        </w:tc>
        <w:tc>
          <w:tcPr>
            <w:tcW w:w="1623" w:type="dxa"/>
            <w:vAlign w:val="center"/>
          </w:tcPr>
          <w:p w14:paraId="53D8BAD0" w14:textId="039A546D" w:rsidR="00D41110" w:rsidRPr="000B751D" w:rsidRDefault="00AB4234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050750">
              <w:rPr>
                <w:rFonts w:ascii="Arial" w:hAnsi="Arial" w:cs="Arial"/>
                <w:sz w:val="20"/>
              </w:rPr>
              <w:t>901.626,19</w:t>
            </w:r>
            <w:r w:rsidR="00010E81">
              <w:rPr>
                <w:rFonts w:ascii="Arial" w:hAnsi="Arial" w:cs="Arial"/>
                <w:sz w:val="20"/>
              </w:rPr>
              <w:t xml:space="preserve">     -</w:t>
            </w:r>
            <w:r w:rsidR="00050750">
              <w:rPr>
                <w:rFonts w:ascii="Arial" w:hAnsi="Arial" w:cs="Arial"/>
                <w:sz w:val="20"/>
              </w:rPr>
              <w:t>594.271,31</w:t>
            </w:r>
          </w:p>
        </w:tc>
        <w:tc>
          <w:tcPr>
            <w:tcW w:w="1652" w:type="dxa"/>
            <w:vAlign w:val="center"/>
          </w:tcPr>
          <w:p w14:paraId="3C83AEB5" w14:textId="44C3394B" w:rsidR="00D41110" w:rsidRPr="000B751D" w:rsidRDefault="00050750" w:rsidP="005B18E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3.307.354,88</w:t>
            </w:r>
          </w:p>
        </w:tc>
      </w:tr>
      <w:tr w:rsidR="00D41110" w:rsidRPr="00C007A2" w14:paraId="4A46FD67" w14:textId="77777777" w:rsidTr="005B18EC">
        <w:tc>
          <w:tcPr>
            <w:tcW w:w="1384" w:type="dxa"/>
          </w:tcPr>
          <w:p w14:paraId="73C39409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13141B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3F72CF2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vAlign w:val="center"/>
          </w:tcPr>
          <w:p w14:paraId="7C841148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71980165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  <w:vAlign w:val="center"/>
          </w:tcPr>
          <w:p w14:paraId="6F7A84D6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41110" w:rsidRPr="00C007A2" w14:paraId="023FEAF7" w14:textId="77777777" w:rsidTr="005B18EC">
        <w:tc>
          <w:tcPr>
            <w:tcW w:w="1384" w:type="dxa"/>
          </w:tcPr>
          <w:p w14:paraId="20743568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>3-rashodi poslovanja</w:t>
            </w:r>
          </w:p>
        </w:tc>
        <w:tc>
          <w:tcPr>
            <w:tcW w:w="1701" w:type="dxa"/>
            <w:vAlign w:val="center"/>
          </w:tcPr>
          <w:p w14:paraId="25319A38" w14:textId="6095DFAF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2.303.180,89</w:t>
            </w:r>
          </w:p>
        </w:tc>
        <w:tc>
          <w:tcPr>
            <w:tcW w:w="1701" w:type="dxa"/>
            <w:vAlign w:val="center"/>
          </w:tcPr>
          <w:p w14:paraId="7AF61C19" w14:textId="78155325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839.984,11</w:t>
            </w:r>
          </w:p>
        </w:tc>
        <w:tc>
          <w:tcPr>
            <w:tcW w:w="1403" w:type="dxa"/>
            <w:vAlign w:val="center"/>
          </w:tcPr>
          <w:p w14:paraId="4EA0EF68" w14:textId="471EC57E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38.962,52</w:t>
            </w:r>
          </w:p>
        </w:tc>
        <w:tc>
          <w:tcPr>
            <w:tcW w:w="1623" w:type="dxa"/>
            <w:vAlign w:val="center"/>
          </w:tcPr>
          <w:p w14:paraId="0F0D3A3B" w14:textId="41C3D5AF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3.182.127,52</w:t>
            </w:r>
          </w:p>
        </w:tc>
        <w:tc>
          <w:tcPr>
            <w:tcW w:w="1652" w:type="dxa"/>
            <w:vMerge w:val="restart"/>
            <w:vAlign w:val="center"/>
          </w:tcPr>
          <w:p w14:paraId="097FADEC" w14:textId="3101E48D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2.587.856,21</w:t>
            </w:r>
          </w:p>
        </w:tc>
      </w:tr>
      <w:tr w:rsidR="00D41110" w:rsidRPr="00C007A2" w14:paraId="64F41559" w14:textId="77777777" w:rsidTr="005B18EC">
        <w:tc>
          <w:tcPr>
            <w:tcW w:w="1384" w:type="dxa"/>
          </w:tcPr>
          <w:p w14:paraId="6925A9FE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>-367 prijenosi</w:t>
            </w:r>
          </w:p>
        </w:tc>
        <w:tc>
          <w:tcPr>
            <w:tcW w:w="1701" w:type="dxa"/>
            <w:vAlign w:val="center"/>
          </w:tcPr>
          <w:p w14:paraId="64F7722E" w14:textId="69A1FB78" w:rsidR="00D41110" w:rsidRPr="000B751D" w:rsidRDefault="00527D6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050750">
              <w:rPr>
                <w:rFonts w:ascii="Arial" w:hAnsi="Arial" w:cs="Arial"/>
                <w:sz w:val="20"/>
              </w:rPr>
              <w:t>594.271,31</w:t>
            </w:r>
          </w:p>
        </w:tc>
        <w:tc>
          <w:tcPr>
            <w:tcW w:w="1701" w:type="dxa"/>
            <w:vAlign w:val="center"/>
          </w:tcPr>
          <w:p w14:paraId="03E437B1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vAlign w:val="center"/>
          </w:tcPr>
          <w:p w14:paraId="653920C5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5BAB0A7E" w14:textId="553ADEAF" w:rsidR="00D41110" w:rsidRPr="000B751D" w:rsidRDefault="000873A7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050750">
              <w:rPr>
                <w:rFonts w:ascii="Arial" w:hAnsi="Arial" w:cs="Arial"/>
                <w:sz w:val="20"/>
              </w:rPr>
              <w:t>594.271,31</w:t>
            </w:r>
          </w:p>
        </w:tc>
        <w:tc>
          <w:tcPr>
            <w:tcW w:w="1652" w:type="dxa"/>
            <w:vMerge/>
            <w:vAlign w:val="center"/>
          </w:tcPr>
          <w:p w14:paraId="4BBE7750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41110" w:rsidRPr="00C007A2" w14:paraId="5A9D7F45" w14:textId="77777777" w:rsidTr="005B18EC">
        <w:tc>
          <w:tcPr>
            <w:tcW w:w="1384" w:type="dxa"/>
          </w:tcPr>
          <w:p w14:paraId="02E3D6A5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>4-rashodi za nefinancijsku imovinu</w:t>
            </w:r>
          </w:p>
        </w:tc>
        <w:tc>
          <w:tcPr>
            <w:tcW w:w="1701" w:type="dxa"/>
            <w:vAlign w:val="center"/>
          </w:tcPr>
          <w:p w14:paraId="79AE2D36" w14:textId="272A4E52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2.467.542,70</w:t>
            </w:r>
          </w:p>
        </w:tc>
        <w:tc>
          <w:tcPr>
            <w:tcW w:w="1701" w:type="dxa"/>
            <w:vAlign w:val="center"/>
          </w:tcPr>
          <w:p w14:paraId="2A097671" w14:textId="04FFD1C0" w:rsidR="00D41110" w:rsidRPr="000B751D" w:rsidRDefault="00050750" w:rsidP="00CB662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448,29</w:t>
            </w:r>
          </w:p>
        </w:tc>
        <w:tc>
          <w:tcPr>
            <w:tcW w:w="1403" w:type="dxa"/>
            <w:vAlign w:val="center"/>
          </w:tcPr>
          <w:p w14:paraId="4811A757" w14:textId="593F9EAF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11.378,44</w:t>
            </w:r>
          </w:p>
        </w:tc>
        <w:tc>
          <w:tcPr>
            <w:tcW w:w="1623" w:type="dxa"/>
            <w:vAlign w:val="center"/>
          </w:tcPr>
          <w:p w14:paraId="684D89B9" w14:textId="78B7962F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  <w:vAlign w:val="center"/>
          </w:tcPr>
          <w:p w14:paraId="01A9653D" w14:textId="27B19269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2.479.369,43</w:t>
            </w:r>
          </w:p>
        </w:tc>
      </w:tr>
      <w:tr w:rsidR="00D41110" w:rsidRPr="00C007A2" w14:paraId="70FD3D12" w14:textId="77777777" w:rsidTr="005B18EC">
        <w:tc>
          <w:tcPr>
            <w:tcW w:w="1384" w:type="dxa"/>
          </w:tcPr>
          <w:p w14:paraId="6728570D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>5-izdaci za financijsku imovinu</w:t>
            </w:r>
          </w:p>
        </w:tc>
        <w:tc>
          <w:tcPr>
            <w:tcW w:w="1701" w:type="dxa"/>
            <w:vAlign w:val="center"/>
          </w:tcPr>
          <w:p w14:paraId="11A082FD" w14:textId="49256147" w:rsidR="00D41110" w:rsidRPr="000B751D" w:rsidRDefault="00CB6624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  <w:vAlign w:val="center"/>
          </w:tcPr>
          <w:p w14:paraId="55CDE1A6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vAlign w:val="center"/>
          </w:tcPr>
          <w:p w14:paraId="565690EB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52026BA0" w14:textId="139695AA" w:rsidR="00D41110" w:rsidRPr="000B751D" w:rsidRDefault="00CB6624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652" w:type="dxa"/>
            <w:vAlign w:val="center"/>
          </w:tcPr>
          <w:p w14:paraId="41E7B450" w14:textId="6BD3B7A1" w:rsidR="00D41110" w:rsidRPr="000B751D" w:rsidRDefault="00CB6624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41110" w:rsidRPr="00C007A2" w14:paraId="652B2EBB" w14:textId="77777777" w:rsidTr="0021126D">
        <w:tc>
          <w:tcPr>
            <w:tcW w:w="1384" w:type="dxa"/>
          </w:tcPr>
          <w:p w14:paraId="3E1CDDD7" w14:textId="77777777" w:rsidR="00D41110" w:rsidRPr="009406C2" w:rsidRDefault="00D41110" w:rsidP="005B18EC">
            <w:pPr>
              <w:rPr>
                <w:rFonts w:ascii="Arial" w:hAnsi="Arial" w:cs="Arial"/>
                <w:b/>
                <w:sz w:val="20"/>
              </w:rPr>
            </w:pPr>
            <w:r w:rsidRPr="009406C2">
              <w:rPr>
                <w:rFonts w:ascii="Arial" w:hAnsi="Arial" w:cs="Arial"/>
                <w:b/>
                <w:sz w:val="20"/>
              </w:rPr>
              <w:lastRenderedPageBreak/>
              <w:t>UKUPNO rashodi i izdaci</w:t>
            </w:r>
          </w:p>
        </w:tc>
        <w:tc>
          <w:tcPr>
            <w:tcW w:w="1701" w:type="dxa"/>
            <w:vAlign w:val="center"/>
          </w:tcPr>
          <w:p w14:paraId="74775625" w14:textId="0A077717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4.770.723,59</w:t>
            </w:r>
          </w:p>
        </w:tc>
        <w:tc>
          <w:tcPr>
            <w:tcW w:w="1701" w:type="dxa"/>
            <w:vAlign w:val="bottom"/>
          </w:tcPr>
          <w:p w14:paraId="2130CFDD" w14:textId="068057AF" w:rsidR="00D41110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840.432,40</w:t>
            </w:r>
          </w:p>
          <w:p w14:paraId="68A32607" w14:textId="77777777" w:rsidR="00212E68" w:rsidRPr="000B751D" w:rsidRDefault="00212E68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vAlign w:val="center"/>
          </w:tcPr>
          <w:p w14:paraId="55F6C517" w14:textId="6071ED45" w:rsidR="00D41110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50.340,96</w:t>
            </w:r>
          </w:p>
        </w:tc>
        <w:tc>
          <w:tcPr>
            <w:tcW w:w="1623" w:type="dxa"/>
            <w:vAlign w:val="center"/>
          </w:tcPr>
          <w:p w14:paraId="76F3E86E" w14:textId="7D9FA99C" w:rsidR="00D41110" w:rsidRPr="000B751D" w:rsidRDefault="00050750" w:rsidP="0077454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5.661.496,95</w:t>
            </w:r>
            <w:r w:rsidR="000873A7">
              <w:rPr>
                <w:rFonts w:ascii="Arial" w:hAnsi="Arial" w:cs="Arial"/>
                <w:sz w:val="20"/>
              </w:rPr>
              <w:t xml:space="preserve">    -</w:t>
            </w:r>
            <w:r>
              <w:rPr>
                <w:rFonts w:ascii="Arial" w:hAnsi="Arial" w:cs="Arial"/>
                <w:sz w:val="20"/>
              </w:rPr>
              <w:t>594.271,31</w:t>
            </w:r>
          </w:p>
        </w:tc>
        <w:tc>
          <w:tcPr>
            <w:tcW w:w="1652" w:type="dxa"/>
            <w:vAlign w:val="center"/>
          </w:tcPr>
          <w:p w14:paraId="0628C571" w14:textId="43B98A27" w:rsidR="00D41110" w:rsidRPr="000B751D" w:rsidRDefault="00050750" w:rsidP="005B18E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5.067.225,64</w:t>
            </w:r>
          </w:p>
        </w:tc>
      </w:tr>
      <w:tr w:rsidR="00D41110" w:rsidRPr="00C007A2" w14:paraId="19F6D57B" w14:textId="77777777" w:rsidTr="005B18EC">
        <w:tc>
          <w:tcPr>
            <w:tcW w:w="1384" w:type="dxa"/>
          </w:tcPr>
          <w:p w14:paraId="44AC9BFE" w14:textId="77777777" w:rsidR="00D41110" w:rsidRPr="000B751D" w:rsidRDefault="00D41110" w:rsidP="005B18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CE933DE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977A843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vAlign w:val="center"/>
          </w:tcPr>
          <w:p w14:paraId="4E7ED94C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736312F8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  <w:vAlign w:val="center"/>
          </w:tcPr>
          <w:p w14:paraId="3ADBB68B" w14:textId="77777777" w:rsidR="00D41110" w:rsidRPr="000B751D" w:rsidRDefault="00D41110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F749F" w:rsidRPr="00C007A2" w14:paraId="5AB5E314" w14:textId="77777777" w:rsidTr="005B18EC">
        <w:tc>
          <w:tcPr>
            <w:tcW w:w="1384" w:type="dxa"/>
          </w:tcPr>
          <w:p w14:paraId="2D688123" w14:textId="1BCD38DE" w:rsidR="003F749F" w:rsidRPr="000B751D" w:rsidRDefault="003F749F" w:rsidP="005B18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Višak           I</w:t>
            </w:r>
            <w:r w:rsidR="0005075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-VI</w:t>
            </w:r>
            <w:r w:rsidR="0005075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/</w:t>
            </w:r>
            <w:r w:rsidR="00EF2B2A">
              <w:rPr>
                <w:rFonts w:ascii="Arial" w:hAnsi="Arial" w:cs="Arial"/>
                <w:sz w:val="20"/>
              </w:rPr>
              <w:t>2</w:t>
            </w:r>
            <w:r w:rsidR="0005075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D2EF110" w14:textId="60B91994" w:rsidR="003F749F" w:rsidRPr="000B751D" w:rsidRDefault="003F749F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CE2A205" w14:textId="4D5981D1" w:rsidR="003F749F" w:rsidRPr="000B751D" w:rsidRDefault="003F749F" w:rsidP="003647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3" w:type="dxa"/>
            <w:vAlign w:val="center"/>
          </w:tcPr>
          <w:p w14:paraId="0D6E5DEE" w14:textId="429555BF" w:rsidR="003F749F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</w:t>
            </w:r>
            <w:r w:rsidR="00966752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3,96</w:t>
            </w:r>
          </w:p>
        </w:tc>
        <w:tc>
          <w:tcPr>
            <w:tcW w:w="1623" w:type="dxa"/>
            <w:vAlign w:val="center"/>
          </w:tcPr>
          <w:p w14:paraId="5E162B35" w14:textId="1085329F" w:rsidR="003F749F" w:rsidRPr="000B751D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</w:t>
            </w:r>
            <w:r w:rsidR="00966752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3,96</w:t>
            </w:r>
          </w:p>
        </w:tc>
        <w:tc>
          <w:tcPr>
            <w:tcW w:w="1652" w:type="dxa"/>
            <w:vMerge w:val="restart"/>
            <w:vAlign w:val="center"/>
          </w:tcPr>
          <w:p w14:paraId="13846F7E" w14:textId="7F3A955D" w:rsidR="003F749F" w:rsidRPr="000B751D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1.759.870,76</w:t>
            </w:r>
          </w:p>
        </w:tc>
      </w:tr>
      <w:tr w:rsidR="003F749F" w:rsidRPr="00C007A2" w14:paraId="124E5EF7" w14:textId="77777777" w:rsidTr="005B18EC">
        <w:tc>
          <w:tcPr>
            <w:tcW w:w="1384" w:type="dxa"/>
          </w:tcPr>
          <w:p w14:paraId="0ED559D9" w14:textId="6E77B17D" w:rsidR="003F749F" w:rsidRDefault="003F749F" w:rsidP="005B18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Manjak        I</w:t>
            </w:r>
            <w:r w:rsidR="0005075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-VI</w:t>
            </w:r>
            <w:r w:rsidR="0005075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/</w:t>
            </w:r>
            <w:r w:rsidR="00212E68">
              <w:rPr>
                <w:rFonts w:ascii="Arial" w:hAnsi="Arial" w:cs="Arial"/>
                <w:sz w:val="20"/>
              </w:rPr>
              <w:t>2</w:t>
            </w:r>
            <w:r w:rsidR="0005075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29E49CAB" w14:textId="74D66FB3" w:rsidR="003F749F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1.733.768,11</w:t>
            </w:r>
          </w:p>
        </w:tc>
        <w:tc>
          <w:tcPr>
            <w:tcW w:w="1701" w:type="dxa"/>
            <w:vAlign w:val="center"/>
          </w:tcPr>
          <w:p w14:paraId="425B26DC" w14:textId="3BCCFEC9" w:rsidR="003F749F" w:rsidRDefault="00050750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33.336,61</w:t>
            </w:r>
          </w:p>
        </w:tc>
        <w:tc>
          <w:tcPr>
            <w:tcW w:w="1403" w:type="dxa"/>
            <w:vAlign w:val="center"/>
          </w:tcPr>
          <w:p w14:paraId="3DEE9E7D" w14:textId="77777777" w:rsidR="003F749F" w:rsidRDefault="003F749F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642EFB7" w14:textId="341620D9" w:rsidR="003F749F" w:rsidRPr="000B751D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1.767.104,72</w:t>
            </w:r>
          </w:p>
        </w:tc>
        <w:tc>
          <w:tcPr>
            <w:tcW w:w="1652" w:type="dxa"/>
            <w:vMerge/>
            <w:vAlign w:val="center"/>
          </w:tcPr>
          <w:p w14:paraId="50F2EBD6" w14:textId="77777777" w:rsidR="003F749F" w:rsidRDefault="003F749F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4C04" w:rsidRPr="00C007A2" w14:paraId="6B8801B6" w14:textId="77777777" w:rsidTr="00364701">
        <w:trPr>
          <w:trHeight w:val="360"/>
        </w:trPr>
        <w:tc>
          <w:tcPr>
            <w:tcW w:w="1384" w:type="dxa"/>
          </w:tcPr>
          <w:p w14:paraId="639DE49F" w14:textId="539CB7FB" w:rsidR="007D4C04" w:rsidRPr="000B751D" w:rsidRDefault="007D4C04" w:rsidP="005B18EC">
            <w:pPr>
              <w:rPr>
                <w:rFonts w:ascii="Arial" w:hAnsi="Arial" w:cs="Arial"/>
                <w:sz w:val="20"/>
              </w:rPr>
            </w:pPr>
            <w:r w:rsidRPr="000B751D">
              <w:rPr>
                <w:rFonts w:ascii="Arial" w:hAnsi="Arial" w:cs="Arial"/>
                <w:sz w:val="20"/>
              </w:rPr>
              <w:t>Donos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B751D">
              <w:rPr>
                <w:rFonts w:ascii="Arial" w:hAnsi="Arial" w:cs="Arial"/>
                <w:sz w:val="20"/>
              </w:rPr>
              <w:t xml:space="preserve"> višk</w:t>
            </w: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vAlign w:val="center"/>
          </w:tcPr>
          <w:p w14:paraId="3B589F20" w14:textId="5E89DDF9" w:rsidR="007D4C04" w:rsidRPr="000B751D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1.591.876,27</w:t>
            </w:r>
          </w:p>
        </w:tc>
        <w:tc>
          <w:tcPr>
            <w:tcW w:w="1701" w:type="dxa"/>
            <w:vAlign w:val="center"/>
          </w:tcPr>
          <w:p w14:paraId="51DD4FA9" w14:textId="35041D0C" w:rsidR="007D4C04" w:rsidRPr="000B751D" w:rsidRDefault="007D4C04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3245F9B6" w14:textId="645BDAFD" w:rsidR="007D4C04" w:rsidRPr="000B751D" w:rsidRDefault="007D4C04" w:rsidP="00D252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41898380" w14:textId="150D77BD" w:rsidR="007D4C04" w:rsidRPr="000B751D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1.591.876,27</w:t>
            </w:r>
          </w:p>
        </w:tc>
        <w:tc>
          <w:tcPr>
            <w:tcW w:w="1652" w:type="dxa"/>
            <w:vMerge w:val="restart"/>
            <w:vAlign w:val="center"/>
          </w:tcPr>
          <w:p w14:paraId="53868ACF" w14:textId="2C160AA9" w:rsidR="007D4C04" w:rsidRPr="000B751D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1.510.747,36</w:t>
            </w:r>
          </w:p>
        </w:tc>
      </w:tr>
      <w:tr w:rsidR="007D4C04" w:rsidRPr="00C007A2" w14:paraId="6BC277E9" w14:textId="77777777" w:rsidTr="00D25264">
        <w:tc>
          <w:tcPr>
            <w:tcW w:w="1384" w:type="dxa"/>
          </w:tcPr>
          <w:p w14:paraId="6E2149D1" w14:textId="777EB96E" w:rsidR="007D4C04" w:rsidRPr="000B751D" w:rsidRDefault="007D4C04" w:rsidP="005B18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Donos manjka</w:t>
            </w:r>
          </w:p>
        </w:tc>
        <w:tc>
          <w:tcPr>
            <w:tcW w:w="1701" w:type="dxa"/>
            <w:vAlign w:val="center"/>
          </w:tcPr>
          <w:p w14:paraId="0E19D256" w14:textId="77777777" w:rsidR="007D4C04" w:rsidRDefault="007D4C04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A6E704" w14:textId="1DD86D13" w:rsidR="007D4C04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76.530,07</w:t>
            </w:r>
          </w:p>
        </w:tc>
        <w:tc>
          <w:tcPr>
            <w:tcW w:w="1403" w:type="dxa"/>
            <w:vAlign w:val="center"/>
          </w:tcPr>
          <w:p w14:paraId="10F939A8" w14:textId="57AF7326" w:rsidR="007D4C04" w:rsidRDefault="00966752" w:rsidP="0036470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4.598,84</w:t>
            </w:r>
          </w:p>
        </w:tc>
        <w:tc>
          <w:tcPr>
            <w:tcW w:w="1623" w:type="dxa"/>
            <w:vAlign w:val="center"/>
          </w:tcPr>
          <w:p w14:paraId="44259429" w14:textId="3B80ACB7" w:rsidR="007D4C04" w:rsidRPr="000B751D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81.128,91</w:t>
            </w:r>
          </w:p>
        </w:tc>
        <w:tc>
          <w:tcPr>
            <w:tcW w:w="1652" w:type="dxa"/>
            <w:vMerge/>
            <w:vAlign w:val="center"/>
          </w:tcPr>
          <w:p w14:paraId="70B1B039" w14:textId="77777777" w:rsidR="007D4C04" w:rsidRDefault="007D4C04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63B8E" w:rsidRPr="00C007A2" w14:paraId="3846B00D" w14:textId="77777777" w:rsidTr="00EF5311">
        <w:trPr>
          <w:trHeight w:val="517"/>
        </w:trPr>
        <w:tc>
          <w:tcPr>
            <w:tcW w:w="1384" w:type="dxa"/>
          </w:tcPr>
          <w:p w14:paraId="5BB68D24" w14:textId="147A1A3D" w:rsidR="00363B8E" w:rsidRPr="000B751D" w:rsidRDefault="00AF3D72" w:rsidP="005B18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85882">
              <w:rPr>
                <w:rFonts w:ascii="Arial" w:hAnsi="Arial" w:cs="Arial"/>
                <w:sz w:val="20"/>
              </w:rPr>
              <w:t>Raspoloživi višak</w:t>
            </w:r>
          </w:p>
        </w:tc>
        <w:tc>
          <w:tcPr>
            <w:tcW w:w="1701" w:type="dxa"/>
            <w:vAlign w:val="center"/>
          </w:tcPr>
          <w:p w14:paraId="055178D2" w14:textId="64A3ACD7" w:rsidR="00363B8E" w:rsidRPr="000B751D" w:rsidRDefault="00363B8E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94C27E" w14:textId="70C8DBA8" w:rsidR="00363B8E" w:rsidRPr="000B751D" w:rsidRDefault="0021126D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212E6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03" w:type="dxa"/>
            <w:vAlign w:val="bottom"/>
          </w:tcPr>
          <w:p w14:paraId="2954DFA3" w14:textId="77777777" w:rsidR="00966752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</w:p>
          <w:p w14:paraId="62F62A12" w14:textId="1F701150" w:rsidR="00363B8E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2.635,12</w:t>
            </w:r>
          </w:p>
          <w:p w14:paraId="18B8EDA0" w14:textId="77777777" w:rsidR="00363B8E" w:rsidRPr="000B751D" w:rsidRDefault="00363B8E" w:rsidP="005B18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980DAFC" w14:textId="449DBCF1" w:rsidR="00363B8E" w:rsidRPr="000B751D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2.635,12</w:t>
            </w:r>
          </w:p>
        </w:tc>
        <w:tc>
          <w:tcPr>
            <w:tcW w:w="1652" w:type="dxa"/>
            <w:vMerge w:val="restart"/>
            <w:vAlign w:val="center"/>
          </w:tcPr>
          <w:p w14:paraId="2F5DB071" w14:textId="03C2CE04" w:rsidR="00363B8E" w:rsidRPr="000B751D" w:rsidRDefault="00EF5311" w:rsidP="005B18E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="00966752">
              <w:rPr>
                <w:rFonts w:ascii="Arial" w:hAnsi="Arial" w:cs="Arial"/>
                <w:b/>
                <w:sz w:val="20"/>
              </w:rPr>
              <w:t>249.123,40</w:t>
            </w:r>
          </w:p>
        </w:tc>
      </w:tr>
      <w:tr w:rsidR="00363B8E" w:rsidRPr="00C007A2" w14:paraId="2791FF2F" w14:textId="77777777" w:rsidTr="00EF5311">
        <w:trPr>
          <w:trHeight w:val="229"/>
        </w:trPr>
        <w:tc>
          <w:tcPr>
            <w:tcW w:w="1384" w:type="dxa"/>
          </w:tcPr>
          <w:p w14:paraId="0ADCA3C4" w14:textId="62E0FA18" w:rsidR="00363B8E" w:rsidRPr="000B751D" w:rsidRDefault="00A85882" w:rsidP="005B18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Manjak za pokriće</w:t>
            </w:r>
          </w:p>
        </w:tc>
        <w:tc>
          <w:tcPr>
            <w:tcW w:w="1701" w:type="dxa"/>
            <w:vAlign w:val="center"/>
          </w:tcPr>
          <w:p w14:paraId="4D833CCA" w14:textId="26F54A60" w:rsidR="00363B8E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141.891,84</w:t>
            </w:r>
            <w:r w:rsidR="00A8588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EC00021" w14:textId="0BD41ECF" w:rsidR="00363B8E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109.866,68</w:t>
            </w:r>
          </w:p>
        </w:tc>
        <w:tc>
          <w:tcPr>
            <w:tcW w:w="1403" w:type="dxa"/>
            <w:vAlign w:val="center"/>
          </w:tcPr>
          <w:p w14:paraId="66D1B74B" w14:textId="7A5EF1E4" w:rsidR="00363B8E" w:rsidRDefault="00364701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671B920" w14:textId="71627D73" w:rsidR="00363B8E" w:rsidRDefault="00966752" w:rsidP="005B18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251.758,52</w:t>
            </w:r>
          </w:p>
        </w:tc>
        <w:tc>
          <w:tcPr>
            <w:tcW w:w="1652" w:type="dxa"/>
            <w:vMerge/>
            <w:vAlign w:val="center"/>
          </w:tcPr>
          <w:p w14:paraId="23D7C44A" w14:textId="77777777" w:rsidR="00363B8E" w:rsidRPr="000B751D" w:rsidRDefault="00363B8E" w:rsidP="005B18EC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F77FAC" w14:textId="77777777" w:rsidR="00D41110" w:rsidRDefault="00D41110" w:rsidP="00D41110">
      <w:pPr>
        <w:rPr>
          <w:rFonts w:ascii="Arial" w:hAnsi="Arial" w:cs="Arial"/>
        </w:rPr>
      </w:pPr>
      <w:r w:rsidRPr="009D4B7D">
        <w:rPr>
          <w:rFonts w:ascii="Arial" w:hAnsi="Arial" w:cs="Arial"/>
        </w:rPr>
        <w:tab/>
      </w:r>
    </w:p>
    <w:p w14:paraId="6937B8FE" w14:textId="77777777" w:rsidR="00400CBF" w:rsidRDefault="00400CBF" w:rsidP="00176FD8">
      <w:pPr>
        <w:rPr>
          <w:rFonts w:ascii="Arial" w:hAnsi="Arial" w:cs="Arial"/>
        </w:rPr>
      </w:pPr>
    </w:p>
    <w:p w14:paraId="7FE9BBE7" w14:textId="4A4C391C" w:rsidR="00176FD8" w:rsidRDefault="00176FD8" w:rsidP="00176FD8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4B17B4">
        <w:rPr>
          <w:rFonts w:ascii="Arial" w:hAnsi="Arial" w:cs="Arial"/>
        </w:rPr>
        <w:t>tablici</w:t>
      </w:r>
      <w:r>
        <w:rPr>
          <w:rFonts w:ascii="Arial" w:hAnsi="Arial" w:cs="Arial"/>
        </w:rPr>
        <w:t xml:space="preserve"> Izvršenje proračuna za razdoblje siječanj-lipanj 20</w:t>
      </w:r>
      <w:r w:rsidR="00D81343">
        <w:rPr>
          <w:rFonts w:ascii="Arial" w:hAnsi="Arial" w:cs="Arial"/>
        </w:rPr>
        <w:t>2</w:t>
      </w:r>
      <w:r w:rsidR="004B17B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.godine – </w:t>
      </w:r>
      <w:r w:rsidR="00A87FDA">
        <w:rPr>
          <w:rFonts w:ascii="Arial" w:hAnsi="Arial" w:cs="Arial"/>
        </w:rPr>
        <w:t xml:space="preserve">  </w:t>
      </w:r>
      <w:r w:rsidR="00A87FDA">
        <w:rPr>
          <w:rFonts w:ascii="Arial" w:hAnsi="Arial" w:cs="Arial"/>
        </w:rPr>
        <w:tab/>
      </w:r>
      <w:r w:rsidR="00A87FDA">
        <w:rPr>
          <w:rFonts w:ascii="Arial" w:hAnsi="Arial" w:cs="Arial"/>
        </w:rPr>
        <w:tab/>
      </w:r>
      <w:r w:rsidR="00A87FDA">
        <w:rPr>
          <w:rFonts w:ascii="Arial" w:hAnsi="Arial" w:cs="Arial"/>
        </w:rPr>
        <w:tab/>
      </w:r>
      <w:r w:rsidR="00BC33D0">
        <w:rPr>
          <w:rFonts w:ascii="Arial" w:hAnsi="Arial" w:cs="Arial"/>
        </w:rPr>
        <w:t xml:space="preserve">            </w:t>
      </w:r>
      <w:r w:rsidR="00A87FD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opći dio - :</w:t>
      </w:r>
    </w:p>
    <w:p w14:paraId="44DA85A1" w14:textId="77777777" w:rsidR="00176FD8" w:rsidRDefault="00176FD8" w:rsidP="00176FD8">
      <w:pPr>
        <w:rPr>
          <w:rFonts w:ascii="Arial" w:hAnsi="Arial" w:cs="Arial"/>
        </w:rPr>
      </w:pPr>
      <w:r w:rsidRPr="009D4B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4B17B4">
        <w:rPr>
          <w:rFonts w:ascii="Arial" w:hAnsi="Arial" w:cs="Arial"/>
          <w:szCs w:val="24"/>
        </w:rPr>
        <w:t xml:space="preserve">u prihodima  i rashodima za Vrtić i Knjižnicu, u </w:t>
      </w:r>
      <w:r w:rsidRPr="004B17B4">
        <w:rPr>
          <w:rFonts w:ascii="Arial" w:hAnsi="Arial" w:cs="Arial"/>
          <w:b/>
          <w:szCs w:val="24"/>
        </w:rPr>
        <w:t>planu</w:t>
      </w:r>
      <w:r w:rsidR="0012647F" w:rsidRPr="004B17B4">
        <w:rPr>
          <w:rFonts w:ascii="Arial" w:hAnsi="Arial" w:cs="Arial"/>
          <w:b/>
          <w:szCs w:val="24"/>
        </w:rPr>
        <w:t xml:space="preserve"> </w:t>
      </w:r>
      <w:r w:rsidRPr="004B17B4">
        <w:rPr>
          <w:rFonts w:ascii="Arial" w:hAnsi="Arial" w:cs="Arial"/>
          <w:szCs w:val="24"/>
        </w:rPr>
        <w:t xml:space="preserve"> proračunskih korisnika su izuzeti prihodi i rashodi iz općih izvora:</w:t>
      </w:r>
    </w:p>
    <w:p w14:paraId="0E453CF2" w14:textId="64C6FFB5" w:rsidR="00176FD8" w:rsidRPr="003E64DC" w:rsidRDefault="00176FD8" w:rsidP="00176FD8">
      <w:pPr>
        <w:numPr>
          <w:ilvl w:val="0"/>
          <w:numId w:val="6"/>
        </w:numPr>
        <w:rPr>
          <w:rFonts w:ascii="Arial" w:hAnsi="Arial" w:cs="Arial"/>
        </w:rPr>
      </w:pPr>
      <w:r w:rsidRPr="003E64DC">
        <w:rPr>
          <w:rFonts w:ascii="Arial" w:hAnsi="Arial" w:cs="Arial"/>
        </w:rPr>
        <w:tab/>
        <w:t xml:space="preserve">za Knjižnicu     </w:t>
      </w:r>
      <w:r w:rsidR="009C1120" w:rsidRPr="003E64DC">
        <w:rPr>
          <w:rFonts w:ascii="Arial" w:hAnsi="Arial" w:cs="Arial"/>
        </w:rPr>
        <w:t>95.535,33</w:t>
      </w:r>
      <w:r w:rsidR="006750F1" w:rsidRPr="003E64DC">
        <w:rPr>
          <w:rFonts w:ascii="Arial" w:hAnsi="Arial" w:cs="Arial"/>
        </w:rPr>
        <w:t xml:space="preserve"> </w:t>
      </w:r>
      <w:r w:rsidR="009C1120" w:rsidRPr="003E64DC">
        <w:rPr>
          <w:rFonts w:ascii="Arial" w:hAnsi="Arial" w:cs="Arial"/>
        </w:rPr>
        <w:t>e</w:t>
      </w:r>
      <w:r w:rsidR="006750F1" w:rsidRPr="003E64DC">
        <w:rPr>
          <w:rFonts w:ascii="Arial" w:hAnsi="Arial" w:cs="Arial"/>
        </w:rPr>
        <w:t>ura</w:t>
      </w:r>
    </w:p>
    <w:p w14:paraId="113FC005" w14:textId="31207EB5" w:rsidR="00176FD8" w:rsidRPr="004B17B4" w:rsidRDefault="00176FD8" w:rsidP="00176FD8">
      <w:pPr>
        <w:numPr>
          <w:ilvl w:val="0"/>
          <w:numId w:val="6"/>
        </w:numPr>
        <w:rPr>
          <w:rFonts w:ascii="Arial" w:hAnsi="Arial" w:cs="Arial"/>
          <w:color w:val="EE0000"/>
        </w:rPr>
      </w:pPr>
      <w:r w:rsidRPr="003E64DC">
        <w:rPr>
          <w:rFonts w:ascii="Arial" w:hAnsi="Arial" w:cs="Arial"/>
        </w:rPr>
        <w:tab/>
        <w:t xml:space="preserve">za Vrtić       </w:t>
      </w:r>
      <w:r w:rsidR="003E64DC" w:rsidRPr="003E64DC">
        <w:rPr>
          <w:rFonts w:ascii="Arial" w:hAnsi="Arial" w:cs="Arial"/>
        </w:rPr>
        <w:t>1.420.916,11</w:t>
      </w:r>
      <w:r w:rsidR="006750F1" w:rsidRPr="003E64DC">
        <w:rPr>
          <w:rFonts w:ascii="Arial" w:hAnsi="Arial" w:cs="Arial"/>
        </w:rPr>
        <w:t xml:space="preserve"> </w:t>
      </w:r>
      <w:r w:rsidR="003E64DC" w:rsidRPr="003E64DC">
        <w:rPr>
          <w:rFonts w:ascii="Arial" w:hAnsi="Arial" w:cs="Arial"/>
        </w:rPr>
        <w:t>e</w:t>
      </w:r>
      <w:r w:rsidR="006750F1" w:rsidRPr="003E64DC">
        <w:rPr>
          <w:rFonts w:ascii="Arial" w:hAnsi="Arial" w:cs="Arial"/>
        </w:rPr>
        <w:t>ura</w:t>
      </w:r>
      <w:r w:rsidRPr="003E64DC">
        <w:rPr>
          <w:rFonts w:ascii="Arial" w:hAnsi="Arial" w:cs="Arial"/>
        </w:rPr>
        <w:t xml:space="preserve">,  </w:t>
      </w:r>
    </w:p>
    <w:p w14:paraId="74B3132E" w14:textId="77777777" w:rsidR="004B17B4" w:rsidRDefault="004B17B4" w:rsidP="004B17B4">
      <w:pPr>
        <w:ind w:left="1080"/>
        <w:rPr>
          <w:rFonts w:ascii="Arial" w:hAnsi="Arial" w:cs="Arial"/>
        </w:rPr>
      </w:pPr>
    </w:p>
    <w:p w14:paraId="55B64AD2" w14:textId="4DE07EA8" w:rsidR="00176FD8" w:rsidRDefault="00176FD8" w:rsidP="00176FD8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a u </w:t>
      </w:r>
      <w:r w:rsidR="006A2F7E">
        <w:rPr>
          <w:rFonts w:ascii="Arial" w:hAnsi="Arial" w:cs="Arial"/>
        </w:rPr>
        <w:t xml:space="preserve">plugodišnjem </w:t>
      </w:r>
      <w:r w:rsidRPr="00BC33D0">
        <w:rPr>
          <w:rFonts w:ascii="Arial" w:hAnsi="Arial" w:cs="Arial"/>
          <w:b/>
        </w:rPr>
        <w:t>izvršenju</w:t>
      </w:r>
      <w:r>
        <w:rPr>
          <w:rFonts w:ascii="Arial" w:hAnsi="Arial" w:cs="Arial"/>
        </w:rPr>
        <w:t xml:space="preserve"> proračuna </w:t>
      </w:r>
      <w:r w:rsidRPr="009D4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</w:t>
      </w:r>
      <w:r w:rsidRPr="009D4B7D">
        <w:rPr>
          <w:rFonts w:ascii="Arial" w:hAnsi="Arial" w:cs="Arial"/>
        </w:rPr>
        <w:t>eliminirani</w:t>
      </w:r>
      <w:r>
        <w:rPr>
          <w:rFonts w:ascii="Arial" w:hAnsi="Arial" w:cs="Arial"/>
        </w:rPr>
        <w:t xml:space="preserve"> iz financijskih izvještaja proračunskih korisnika  na prihodovnoj strani račun 67-prihodi iz nadležnog proračuna te na rashodovnoj strani izvori “opći prihodi i primici” po novčanom načelu:</w:t>
      </w:r>
    </w:p>
    <w:p w14:paraId="4D612D4F" w14:textId="0D30C1C4" w:rsidR="00176FD8" w:rsidRDefault="00176FD8" w:rsidP="00176FD8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Knjižnicu      </w:t>
      </w:r>
      <w:r w:rsidR="005B18EC">
        <w:rPr>
          <w:rFonts w:ascii="Arial" w:hAnsi="Arial" w:cs="Arial"/>
        </w:rPr>
        <w:t xml:space="preserve"> </w:t>
      </w:r>
      <w:r w:rsidR="004B17B4">
        <w:rPr>
          <w:rFonts w:ascii="Arial" w:hAnsi="Arial" w:cs="Arial"/>
        </w:rPr>
        <w:t>40.799,74</w:t>
      </w:r>
      <w:r w:rsidR="006750F1">
        <w:rPr>
          <w:rFonts w:ascii="Arial" w:hAnsi="Arial" w:cs="Arial"/>
        </w:rPr>
        <w:t xml:space="preserve"> </w:t>
      </w:r>
      <w:r w:rsidR="004B17B4">
        <w:rPr>
          <w:rFonts w:ascii="Arial" w:hAnsi="Arial" w:cs="Arial"/>
        </w:rPr>
        <w:t>e</w:t>
      </w:r>
      <w:r w:rsidR="006750F1">
        <w:rPr>
          <w:rFonts w:ascii="Arial" w:hAnsi="Arial" w:cs="Arial"/>
        </w:rPr>
        <w:t>ura</w:t>
      </w:r>
    </w:p>
    <w:p w14:paraId="683B1EA7" w14:textId="443B2B57" w:rsidR="006750F1" w:rsidRDefault="00176FD8" w:rsidP="00010809">
      <w:pPr>
        <w:numPr>
          <w:ilvl w:val="0"/>
          <w:numId w:val="7"/>
        </w:numPr>
        <w:rPr>
          <w:rFonts w:ascii="Arial" w:hAnsi="Arial" w:cs="Arial"/>
        </w:rPr>
      </w:pPr>
      <w:r w:rsidRPr="00B0507E">
        <w:rPr>
          <w:rFonts w:ascii="Arial" w:hAnsi="Arial" w:cs="Arial"/>
        </w:rPr>
        <w:tab/>
        <w:t xml:space="preserve">za Vrtić         </w:t>
      </w:r>
      <w:r w:rsidR="006750F1" w:rsidRPr="00B0507E">
        <w:rPr>
          <w:rFonts w:ascii="Arial" w:hAnsi="Arial" w:cs="Arial"/>
        </w:rPr>
        <w:t xml:space="preserve"> </w:t>
      </w:r>
      <w:r w:rsidR="00BE6163" w:rsidRPr="00B0507E">
        <w:rPr>
          <w:rFonts w:ascii="Arial" w:hAnsi="Arial" w:cs="Arial"/>
        </w:rPr>
        <w:t xml:space="preserve"> </w:t>
      </w:r>
      <w:r w:rsidRPr="00B0507E">
        <w:rPr>
          <w:rFonts w:ascii="Arial" w:hAnsi="Arial" w:cs="Arial"/>
        </w:rPr>
        <w:t xml:space="preserve"> </w:t>
      </w:r>
      <w:r w:rsidR="004B17B4">
        <w:rPr>
          <w:rFonts w:ascii="Arial" w:hAnsi="Arial" w:cs="Arial"/>
        </w:rPr>
        <w:t>553.471,57</w:t>
      </w:r>
      <w:r w:rsidRPr="00B0507E">
        <w:rPr>
          <w:rFonts w:ascii="Arial" w:hAnsi="Arial" w:cs="Arial"/>
        </w:rPr>
        <w:t xml:space="preserve"> </w:t>
      </w:r>
      <w:r w:rsidR="004B17B4">
        <w:rPr>
          <w:rFonts w:ascii="Arial" w:hAnsi="Arial" w:cs="Arial"/>
        </w:rPr>
        <w:t>e</w:t>
      </w:r>
      <w:r w:rsidR="006750F1" w:rsidRPr="00B0507E">
        <w:rPr>
          <w:rFonts w:ascii="Arial" w:hAnsi="Arial" w:cs="Arial"/>
        </w:rPr>
        <w:t>ura</w:t>
      </w:r>
    </w:p>
    <w:p w14:paraId="6A092728" w14:textId="77777777" w:rsidR="001A32E5" w:rsidRDefault="001A32E5" w:rsidP="001A32E5">
      <w:pPr>
        <w:rPr>
          <w:rFonts w:ascii="Arial" w:hAnsi="Arial" w:cs="Arial"/>
        </w:rPr>
      </w:pPr>
    </w:p>
    <w:p w14:paraId="16788BE5" w14:textId="77777777" w:rsidR="00B0507E" w:rsidRDefault="00B0507E" w:rsidP="00B0507E">
      <w:pPr>
        <w:rPr>
          <w:rFonts w:ascii="Arial" w:hAnsi="Arial" w:cs="Arial"/>
        </w:rPr>
      </w:pPr>
    </w:p>
    <w:p w14:paraId="4E816402" w14:textId="3511C39F" w:rsidR="00B0507E" w:rsidRPr="00B0507E" w:rsidRDefault="00B0507E" w:rsidP="00B050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 w:rsidR="008A069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Prikaz ostvarenog manjka</w:t>
      </w:r>
      <w:r w:rsidR="00DF5271">
        <w:rPr>
          <w:rFonts w:ascii="Arial" w:hAnsi="Arial" w:cs="Arial"/>
          <w:b/>
          <w:bCs/>
        </w:rPr>
        <w:t xml:space="preserve"> u</w:t>
      </w:r>
      <w:r>
        <w:rPr>
          <w:rFonts w:ascii="Arial" w:hAnsi="Arial" w:cs="Arial"/>
          <w:b/>
          <w:bCs/>
        </w:rPr>
        <w:t xml:space="preserve"> izvještajnom razdoblju</w:t>
      </w:r>
    </w:p>
    <w:p w14:paraId="290CFD72" w14:textId="77777777" w:rsidR="00B0507E" w:rsidRDefault="00B0507E" w:rsidP="00B0507E">
      <w:pPr>
        <w:rPr>
          <w:rFonts w:ascii="Arial" w:hAnsi="Arial" w:cs="Arial"/>
        </w:rPr>
      </w:pPr>
    </w:p>
    <w:p w14:paraId="20DF85CC" w14:textId="18BD667F" w:rsidR="002C0F04" w:rsidRPr="00117D17" w:rsidRDefault="002C0F04" w:rsidP="002C0F04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>U razdoblju od 01. siječnja do 3</w:t>
      </w:r>
      <w:r>
        <w:rPr>
          <w:rFonts w:ascii="Arial" w:hAnsi="Arial" w:cs="Arial"/>
          <w:szCs w:val="24"/>
          <w:lang w:val="hr-HR"/>
        </w:rPr>
        <w:t>0</w:t>
      </w:r>
      <w:r w:rsidRPr="00117D17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>lipnja</w:t>
      </w:r>
      <w:r w:rsidRPr="00117D17">
        <w:rPr>
          <w:rFonts w:ascii="Arial" w:hAnsi="Arial" w:cs="Arial"/>
          <w:szCs w:val="24"/>
          <w:lang w:val="hr-HR"/>
        </w:rPr>
        <w:t xml:space="preserve"> 20</w:t>
      </w:r>
      <w:r w:rsidR="00D81343">
        <w:rPr>
          <w:rFonts w:ascii="Arial" w:hAnsi="Arial" w:cs="Arial"/>
          <w:szCs w:val="24"/>
          <w:lang w:val="hr-HR"/>
        </w:rPr>
        <w:t>2</w:t>
      </w:r>
      <w:r w:rsidR="00DF5271">
        <w:rPr>
          <w:rFonts w:ascii="Arial" w:hAnsi="Arial" w:cs="Arial"/>
          <w:szCs w:val="24"/>
          <w:lang w:val="hr-HR"/>
        </w:rPr>
        <w:t>5</w:t>
      </w:r>
      <w:r w:rsidRPr="00117D17">
        <w:rPr>
          <w:rFonts w:ascii="Arial" w:hAnsi="Arial" w:cs="Arial"/>
          <w:szCs w:val="24"/>
          <w:lang w:val="hr-HR"/>
        </w:rPr>
        <w:t xml:space="preserve">. godine ostvareni su </w:t>
      </w:r>
      <w:r w:rsidRPr="00B80536">
        <w:rPr>
          <w:rFonts w:ascii="Arial" w:hAnsi="Arial" w:cs="Arial"/>
          <w:b/>
          <w:szCs w:val="24"/>
          <w:lang w:val="hr-HR"/>
        </w:rPr>
        <w:t>ukupni prihodi i primici</w:t>
      </w:r>
      <w:r w:rsidRPr="00117D17">
        <w:rPr>
          <w:rFonts w:ascii="Arial" w:hAnsi="Arial" w:cs="Arial"/>
          <w:szCs w:val="24"/>
          <w:lang w:val="hr-HR"/>
        </w:rPr>
        <w:t xml:space="preserve"> u iznosu od </w:t>
      </w:r>
      <w:r w:rsidR="00DF5271">
        <w:rPr>
          <w:rFonts w:ascii="Arial" w:hAnsi="Arial" w:cs="Arial"/>
          <w:szCs w:val="24"/>
          <w:lang w:val="hr-HR"/>
        </w:rPr>
        <w:t>3.307.354,88</w:t>
      </w:r>
      <w:r w:rsidR="006750F1">
        <w:rPr>
          <w:rFonts w:ascii="Arial" w:hAnsi="Arial" w:cs="Arial"/>
          <w:szCs w:val="24"/>
          <w:lang w:val="hr-HR"/>
        </w:rPr>
        <w:t xml:space="preserve"> </w:t>
      </w:r>
      <w:r w:rsidR="00DF5271">
        <w:rPr>
          <w:rFonts w:ascii="Arial" w:hAnsi="Arial" w:cs="Arial"/>
          <w:szCs w:val="24"/>
          <w:lang w:val="hr-HR"/>
        </w:rPr>
        <w:t>e</w:t>
      </w:r>
      <w:r w:rsidR="006750F1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>.</w:t>
      </w:r>
      <w:r w:rsidRPr="00117D17">
        <w:rPr>
          <w:rFonts w:ascii="Arial" w:hAnsi="Arial" w:cs="Arial"/>
          <w:szCs w:val="24"/>
          <w:lang w:val="hr-HR"/>
        </w:rPr>
        <w:t xml:space="preserve"> Istodobno, </w:t>
      </w:r>
      <w:r w:rsidRPr="00B80536">
        <w:rPr>
          <w:rFonts w:ascii="Arial" w:hAnsi="Arial" w:cs="Arial"/>
          <w:b/>
          <w:szCs w:val="24"/>
          <w:lang w:val="hr-HR"/>
        </w:rPr>
        <w:t>ukupni rashodi i izdaci</w:t>
      </w:r>
      <w:r w:rsidRPr="00117D17">
        <w:rPr>
          <w:rFonts w:ascii="Arial" w:hAnsi="Arial" w:cs="Arial"/>
          <w:szCs w:val="24"/>
          <w:lang w:val="hr-HR"/>
        </w:rPr>
        <w:t xml:space="preserve"> ostvareni su u iznosu od </w:t>
      </w:r>
      <w:r w:rsidR="00DF5271">
        <w:rPr>
          <w:rFonts w:ascii="Arial" w:hAnsi="Arial" w:cs="Arial"/>
          <w:szCs w:val="24"/>
          <w:lang w:val="hr-HR"/>
        </w:rPr>
        <w:t>5.067.225,64</w:t>
      </w:r>
      <w:r w:rsidR="006750F1">
        <w:rPr>
          <w:rFonts w:ascii="Arial" w:hAnsi="Arial" w:cs="Arial"/>
          <w:szCs w:val="24"/>
          <w:lang w:val="hr-HR"/>
        </w:rPr>
        <w:t xml:space="preserve"> </w:t>
      </w:r>
      <w:r w:rsidR="00DF5271">
        <w:rPr>
          <w:rFonts w:ascii="Arial" w:hAnsi="Arial" w:cs="Arial"/>
          <w:szCs w:val="24"/>
          <w:lang w:val="hr-HR"/>
        </w:rPr>
        <w:t>e</w:t>
      </w:r>
      <w:r w:rsidR="006750F1">
        <w:rPr>
          <w:rFonts w:ascii="Arial" w:hAnsi="Arial" w:cs="Arial"/>
          <w:szCs w:val="24"/>
          <w:lang w:val="hr-HR"/>
        </w:rPr>
        <w:t>ura</w:t>
      </w:r>
      <w:r w:rsidRPr="00117D17">
        <w:rPr>
          <w:rFonts w:ascii="Arial" w:hAnsi="Arial" w:cs="Arial"/>
          <w:szCs w:val="24"/>
          <w:lang w:val="hr-HR"/>
        </w:rPr>
        <w:t xml:space="preserve">, tako da je ostvaren </w:t>
      </w:r>
      <w:r w:rsidR="00DF5271">
        <w:rPr>
          <w:rFonts w:ascii="Arial" w:hAnsi="Arial" w:cs="Arial"/>
          <w:szCs w:val="24"/>
          <w:lang w:val="hr-HR"/>
        </w:rPr>
        <w:t>manjak</w:t>
      </w:r>
      <w:r w:rsidRPr="00117D17">
        <w:rPr>
          <w:rFonts w:ascii="Arial" w:hAnsi="Arial" w:cs="Arial"/>
          <w:szCs w:val="24"/>
          <w:lang w:val="hr-HR"/>
        </w:rPr>
        <w:t xml:space="preserve"> prihoda i primitaka u iznosu od </w:t>
      </w:r>
      <w:r w:rsidR="00DF5271">
        <w:rPr>
          <w:rFonts w:ascii="Arial" w:hAnsi="Arial" w:cs="Arial"/>
          <w:szCs w:val="24"/>
          <w:lang w:val="hr-HR"/>
        </w:rPr>
        <w:t>1.759.870,76</w:t>
      </w:r>
      <w:r w:rsidR="00555340">
        <w:rPr>
          <w:rFonts w:ascii="Arial" w:hAnsi="Arial" w:cs="Arial"/>
          <w:szCs w:val="24"/>
          <w:lang w:val="hr-HR"/>
        </w:rPr>
        <w:t xml:space="preserve"> </w:t>
      </w:r>
      <w:r w:rsidR="00DF5271">
        <w:rPr>
          <w:rFonts w:ascii="Arial" w:hAnsi="Arial" w:cs="Arial"/>
          <w:szCs w:val="24"/>
          <w:lang w:val="hr-HR"/>
        </w:rPr>
        <w:t>e</w:t>
      </w:r>
      <w:r w:rsidR="00555340">
        <w:rPr>
          <w:rFonts w:ascii="Arial" w:hAnsi="Arial" w:cs="Arial"/>
          <w:szCs w:val="24"/>
          <w:lang w:val="hr-HR"/>
        </w:rPr>
        <w:t>ura</w:t>
      </w:r>
      <w:r w:rsidRPr="00117D17">
        <w:rPr>
          <w:rFonts w:ascii="Arial" w:hAnsi="Arial" w:cs="Arial"/>
          <w:szCs w:val="24"/>
          <w:lang w:val="hr-HR"/>
        </w:rPr>
        <w:t>.</w:t>
      </w:r>
    </w:p>
    <w:p w14:paraId="3A1C9610" w14:textId="2ABE7E76" w:rsidR="002C0F04" w:rsidRDefault="002C0F04" w:rsidP="002C0F04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 xml:space="preserve">S obzirom  kako je iz prethodne godine prenesen </w:t>
      </w:r>
      <w:r w:rsidR="00D81343">
        <w:rPr>
          <w:rFonts w:ascii="Arial" w:hAnsi="Arial" w:cs="Arial"/>
          <w:szCs w:val="24"/>
          <w:lang w:val="hr-HR"/>
        </w:rPr>
        <w:t>višak</w:t>
      </w:r>
      <w:r w:rsidRPr="00117D17">
        <w:rPr>
          <w:rFonts w:ascii="Arial" w:hAnsi="Arial" w:cs="Arial"/>
          <w:szCs w:val="24"/>
          <w:lang w:val="hr-HR"/>
        </w:rPr>
        <w:t xml:space="preserve"> prihoda i primitaka u iznosu od </w:t>
      </w:r>
      <w:r w:rsidR="00C17DF4">
        <w:rPr>
          <w:rFonts w:ascii="Arial" w:hAnsi="Arial" w:cs="Arial"/>
          <w:szCs w:val="24"/>
          <w:lang w:val="hr-HR"/>
        </w:rPr>
        <w:t>1.</w:t>
      </w:r>
      <w:r w:rsidR="00DF5271">
        <w:rPr>
          <w:rFonts w:ascii="Arial" w:hAnsi="Arial" w:cs="Arial"/>
          <w:szCs w:val="24"/>
          <w:lang w:val="hr-HR"/>
        </w:rPr>
        <w:t>510.747,36</w:t>
      </w:r>
      <w:r w:rsidR="00555340">
        <w:rPr>
          <w:rFonts w:ascii="Arial" w:hAnsi="Arial" w:cs="Arial"/>
          <w:szCs w:val="24"/>
          <w:lang w:val="hr-HR"/>
        </w:rPr>
        <w:t xml:space="preserve"> </w:t>
      </w:r>
      <w:r w:rsidR="00DF5271">
        <w:rPr>
          <w:rFonts w:ascii="Arial" w:hAnsi="Arial" w:cs="Arial"/>
          <w:szCs w:val="24"/>
          <w:lang w:val="hr-HR"/>
        </w:rPr>
        <w:t>e</w:t>
      </w:r>
      <w:r w:rsidR="00555340">
        <w:rPr>
          <w:rFonts w:ascii="Arial" w:hAnsi="Arial" w:cs="Arial"/>
          <w:szCs w:val="24"/>
          <w:lang w:val="hr-HR"/>
        </w:rPr>
        <w:t>ura</w:t>
      </w:r>
      <w:r w:rsidRPr="00117D17">
        <w:rPr>
          <w:rFonts w:ascii="Arial" w:hAnsi="Arial" w:cs="Arial"/>
          <w:szCs w:val="24"/>
          <w:lang w:val="hr-HR"/>
        </w:rPr>
        <w:t xml:space="preserve">, </w:t>
      </w:r>
      <w:r w:rsidR="00DF5271" w:rsidRPr="00DF5271">
        <w:rPr>
          <w:rFonts w:ascii="Arial" w:hAnsi="Arial" w:cs="Arial"/>
          <w:b/>
          <w:bCs/>
          <w:szCs w:val="24"/>
          <w:lang w:val="hr-HR"/>
        </w:rPr>
        <w:t>manjak</w:t>
      </w:r>
      <w:r w:rsidRPr="00117D17">
        <w:rPr>
          <w:rFonts w:ascii="Arial" w:hAnsi="Arial" w:cs="Arial"/>
          <w:szCs w:val="24"/>
          <w:lang w:val="hr-HR"/>
        </w:rPr>
        <w:t xml:space="preserve"> prihoda i primitaka </w:t>
      </w:r>
      <w:r w:rsidR="00DF5271">
        <w:rPr>
          <w:rFonts w:ascii="Arial" w:hAnsi="Arial" w:cs="Arial"/>
          <w:szCs w:val="24"/>
          <w:lang w:val="hr-HR"/>
        </w:rPr>
        <w:t>za pokriće</w:t>
      </w:r>
      <w:r w:rsidRPr="00117D17">
        <w:rPr>
          <w:rFonts w:ascii="Arial" w:hAnsi="Arial" w:cs="Arial"/>
          <w:szCs w:val="24"/>
          <w:lang w:val="hr-HR"/>
        </w:rPr>
        <w:t xml:space="preserve"> u sljedećem razdoblju iznosi </w:t>
      </w:r>
      <w:r w:rsidR="00DF5271">
        <w:rPr>
          <w:rFonts w:ascii="Arial" w:hAnsi="Arial" w:cs="Arial"/>
          <w:b/>
          <w:bCs/>
          <w:szCs w:val="24"/>
          <w:lang w:val="hr-HR"/>
        </w:rPr>
        <w:t>249.123,40 eura</w:t>
      </w:r>
      <w:r w:rsidRPr="00117D17">
        <w:rPr>
          <w:rFonts w:ascii="Arial" w:hAnsi="Arial" w:cs="Arial"/>
          <w:szCs w:val="24"/>
          <w:lang w:val="hr-HR"/>
        </w:rPr>
        <w:t>.</w:t>
      </w:r>
    </w:p>
    <w:p w14:paraId="75B5AB11" w14:textId="77777777" w:rsidR="00176FD8" w:rsidRDefault="00176FD8" w:rsidP="002C0F04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5570A169" w14:textId="77777777" w:rsidR="00176FD8" w:rsidRDefault="00176FD8" w:rsidP="00176FD8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Ukupni  preneseni </w:t>
      </w:r>
      <w:r w:rsidR="00D81343">
        <w:rPr>
          <w:rFonts w:ascii="Arial" w:hAnsi="Arial" w:cs="Arial"/>
          <w:szCs w:val="24"/>
          <w:lang w:val="hr-HR"/>
        </w:rPr>
        <w:t>višak/manjak</w:t>
      </w:r>
      <w:r>
        <w:rPr>
          <w:rFonts w:ascii="Arial" w:hAnsi="Arial" w:cs="Arial"/>
          <w:szCs w:val="24"/>
          <w:lang w:val="hr-HR"/>
        </w:rPr>
        <w:t xml:space="preserve"> (donos </w:t>
      </w:r>
      <w:r w:rsidR="00D81343">
        <w:rPr>
          <w:rFonts w:ascii="Arial" w:hAnsi="Arial" w:cs="Arial"/>
          <w:szCs w:val="24"/>
          <w:lang w:val="hr-HR"/>
        </w:rPr>
        <w:t>viška/</w:t>
      </w:r>
      <w:r>
        <w:rPr>
          <w:rFonts w:ascii="Arial" w:hAnsi="Arial" w:cs="Arial"/>
          <w:szCs w:val="24"/>
          <w:lang w:val="hr-HR"/>
        </w:rPr>
        <w:t>manjka iz prijašnjih godina) sastoji se od:</w:t>
      </w:r>
    </w:p>
    <w:p w14:paraId="5CED2B42" w14:textId="7289AFE4" w:rsidR="00176FD8" w:rsidRDefault="00D81343" w:rsidP="00176FD8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viška</w:t>
      </w:r>
      <w:r w:rsidR="00176FD8">
        <w:rPr>
          <w:rFonts w:ascii="Arial" w:hAnsi="Arial" w:cs="Arial"/>
          <w:szCs w:val="24"/>
          <w:lang w:val="hr-HR"/>
        </w:rPr>
        <w:t xml:space="preserve"> Grada  u iznosu od  </w:t>
      </w:r>
      <w:r w:rsidR="00985D53">
        <w:rPr>
          <w:rFonts w:ascii="Arial" w:hAnsi="Arial" w:cs="Arial"/>
          <w:szCs w:val="24"/>
          <w:lang w:val="hr-HR"/>
        </w:rPr>
        <w:t>1.591.876,27</w:t>
      </w:r>
      <w:r w:rsidR="00555340">
        <w:rPr>
          <w:rFonts w:ascii="Arial" w:hAnsi="Arial" w:cs="Arial"/>
          <w:szCs w:val="24"/>
          <w:lang w:val="hr-HR"/>
        </w:rPr>
        <w:t xml:space="preserve"> </w:t>
      </w:r>
      <w:r w:rsidR="00985D53">
        <w:rPr>
          <w:rFonts w:ascii="Arial" w:hAnsi="Arial" w:cs="Arial"/>
          <w:szCs w:val="24"/>
          <w:lang w:val="hr-HR"/>
        </w:rPr>
        <w:t>e</w:t>
      </w:r>
      <w:r w:rsidR="00555340">
        <w:rPr>
          <w:rFonts w:ascii="Arial" w:hAnsi="Arial" w:cs="Arial"/>
          <w:szCs w:val="24"/>
          <w:lang w:val="hr-HR"/>
        </w:rPr>
        <w:t>ura</w:t>
      </w:r>
    </w:p>
    <w:p w14:paraId="11A17552" w14:textId="0A5CC64D" w:rsidR="00176FD8" w:rsidRDefault="00176FD8" w:rsidP="00176FD8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manjka </w:t>
      </w:r>
      <w:r w:rsidR="00510EE3">
        <w:rPr>
          <w:rFonts w:ascii="Arial" w:hAnsi="Arial" w:cs="Arial"/>
          <w:szCs w:val="24"/>
          <w:lang w:val="hr-HR"/>
        </w:rPr>
        <w:t>Gradske</w:t>
      </w:r>
      <w:r>
        <w:rPr>
          <w:rFonts w:ascii="Arial" w:hAnsi="Arial" w:cs="Arial"/>
          <w:szCs w:val="24"/>
          <w:lang w:val="hr-HR"/>
        </w:rPr>
        <w:t xml:space="preserve"> knjižnice u iznosu od  </w:t>
      </w:r>
      <w:r w:rsidR="00985D53">
        <w:rPr>
          <w:rFonts w:ascii="Arial" w:hAnsi="Arial" w:cs="Arial"/>
          <w:szCs w:val="24"/>
          <w:lang w:val="hr-HR"/>
        </w:rPr>
        <w:t>4.598,84</w:t>
      </w:r>
      <w:r w:rsidR="00555340">
        <w:rPr>
          <w:rFonts w:ascii="Arial" w:hAnsi="Arial" w:cs="Arial"/>
          <w:szCs w:val="24"/>
          <w:lang w:val="hr-HR"/>
        </w:rPr>
        <w:t xml:space="preserve"> </w:t>
      </w:r>
      <w:r w:rsidR="00985D53">
        <w:rPr>
          <w:rFonts w:ascii="Arial" w:hAnsi="Arial" w:cs="Arial"/>
          <w:szCs w:val="24"/>
          <w:lang w:val="hr-HR"/>
        </w:rPr>
        <w:t>e</w:t>
      </w:r>
      <w:r w:rsidR="00555340">
        <w:rPr>
          <w:rFonts w:ascii="Arial" w:hAnsi="Arial" w:cs="Arial"/>
          <w:szCs w:val="24"/>
          <w:lang w:val="hr-HR"/>
        </w:rPr>
        <w:t>ura</w:t>
      </w:r>
    </w:p>
    <w:p w14:paraId="7A1E854E" w14:textId="4DAD2217" w:rsidR="00176FD8" w:rsidRDefault="00BF75B3" w:rsidP="00176FD8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manjka</w:t>
      </w:r>
      <w:r w:rsidR="00176FD8">
        <w:rPr>
          <w:rFonts w:ascii="Arial" w:hAnsi="Arial" w:cs="Arial"/>
          <w:szCs w:val="24"/>
          <w:lang w:val="hr-HR"/>
        </w:rPr>
        <w:t xml:space="preserve"> </w:t>
      </w:r>
      <w:r w:rsidR="00985D53">
        <w:rPr>
          <w:rFonts w:ascii="Arial" w:hAnsi="Arial" w:cs="Arial"/>
          <w:szCs w:val="24"/>
          <w:lang w:val="hr-HR"/>
        </w:rPr>
        <w:t>D</w:t>
      </w:r>
      <w:r w:rsidR="00176FD8">
        <w:rPr>
          <w:rFonts w:ascii="Arial" w:hAnsi="Arial" w:cs="Arial"/>
          <w:szCs w:val="24"/>
          <w:lang w:val="hr-HR"/>
        </w:rPr>
        <w:t>ječjeg vrtića</w:t>
      </w:r>
      <w:r w:rsidR="00D81343">
        <w:rPr>
          <w:rFonts w:ascii="Arial" w:hAnsi="Arial" w:cs="Arial"/>
          <w:szCs w:val="24"/>
          <w:lang w:val="hr-HR"/>
        </w:rPr>
        <w:t xml:space="preserve"> </w:t>
      </w:r>
      <w:r w:rsidR="00176FD8">
        <w:rPr>
          <w:rFonts w:ascii="Arial" w:hAnsi="Arial" w:cs="Arial"/>
          <w:szCs w:val="24"/>
          <w:lang w:val="hr-HR"/>
        </w:rPr>
        <w:t xml:space="preserve">“Pinokio“ u iznosu od  </w:t>
      </w:r>
      <w:r w:rsidR="00985D53">
        <w:rPr>
          <w:rFonts w:ascii="Arial" w:hAnsi="Arial" w:cs="Arial"/>
          <w:szCs w:val="24"/>
          <w:lang w:val="hr-HR"/>
        </w:rPr>
        <w:t>76.530,07</w:t>
      </w:r>
      <w:r w:rsidR="00555340">
        <w:rPr>
          <w:rFonts w:ascii="Arial" w:hAnsi="Arial" w:cs="Arial"/>
          <w:szCs w:val="24"/>
          <w:lang w:val="hr-HR"/>
        </w:rPr>
        <w:t xml:space="preserve"> </w:t>
      </w:r>
      <w:r w:rsidR="00985D53">
        <w:rPr>
          <w:rFonts w:ascii="Arial" w:hAnsi="Arial" w:cs="Arial"/>
          <w:szCs w:val="24"/>
          <w:lang w:val="hr-HR"/>
        </w:rPr>
        <w:t>e</w:t>
      </w:r>
      <w:r w:rsidR="00555340">
        <w:rPr>
          <w:rFonts w:ascii="Arial" w:hAnsi="Arial" w:cs="Arial"/>
          <w:szCs w:val="24"/>
          <w:lang w:val="hr-HR"/>
        </w:rPr>
        <w:t>ura</w:t>
      </w:r>
    </w:p>
    <w:p w14:paraId="037C4611" w14:textId="77777777" w:rsidR="00E772D0" w:rsidRDefault="00E772D0" w:rsidP="00E772D0">
      <w:pPr>
        <w:ind w:left="1080"/>
        <w:jc w:val="both"/>
        <w:rPr>
          <w:rFonts w:ascii="Arial" w:hAnsi="Arial" w:cs="Arial"/>
          <w:szCs w:val="24"/>
          <w:lang w:val="hr-HR"/>
        </w:rPr>
      </w:pPr>
    </w:p>
    <w:p w14:paraId="5198B4C5" w14:textId="0E084F2A" w:rsidR="00176FD8" w:rsidRDefault="00176FD8" w:rsidP="00176FD8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985D53">
        <w:rPr>
          <w:rFonts w:ascii="Arial" w:hAnsi="Arial" w:cs="Arial"/>
          <w:b/>
          <w:szCs w:val="24"/>
          <w:lang w:val="hr-HR"/>
        </w:rPr>
        <w:t>Ukupan manjak</w:t>
      </w:r>
      <w:r>
        <w:rPr>
          <w:rFonts w:ascii="Arial" w:hAnsi="Arial" w:cs="Arial"/>
          <w:szCs w:val="24"/>
          <w:lang w:val="hr-HR"/>
        </w:rPr>
        <w:t xml:space="preserve">  u iznosu </w:t>
      </w:r>
      <w:r w:rsidR="00985D53">
        <w:rPr>
          <w:rFonts w:ascii="Arial" w:hAnsi="Arial" w:cs="Arial"/>
          <w:szCs w:val="24"/>
          <w:lang w:val="hr-HR"/>
        </w:rPr>
        <w:t>249.123,40</w:t>
      </w:r>
      <w:r w:rsidR="00555340">
        <w:rPr>
          <w:rFonts w:ascii="Arial" w:hAnsi="Arial" w:cs="Arial"/>
          <w:szCs w:val="24"/>
          <w:lang w:val="hr-HR"/>
        </w:rPr>
        <w:t xml:space="preserve"> </w:t>
      </w:r>
      <w:r w:rsidR="00985D53">
        <w:rPr>
          <w:rFonts w:ascii="Arial" w:hAnsi="Arial" w:cs="Arial"/>
          <w:szCs w:val="24"/>
          <w:lang w:val="hr-HR"/>
        </w:rPr>
        <w:t>e</w:t>
      </w:r>
      <w:r w:rsidR="00555340">
        <w:rPr>
          <w:rFonts w:ascii="Arial" w:hAnsi="Arial" w:cs="Arial"/>
          <w:szCs w:val="24"/>
          <w:lang w:val="hr-HR"/>
        </w:rPr>
        <w:t>ura</w:t>
      </w:r>
      <w:r>
        <w:rPr>
          <w:rFonts w:ascii="Arial" w:hAnsi="Arial" w:cs="Arial"/>
          <w:szCs w:val="24"/>
          <w:lang w:val="hr-HR"/>
        </w:rPr>
        <w:t xml:space="preserve"> sastoji se od:</w:t>
      </w:r>
    </w:p>
    <w:p w14:paraId="6A5BC50D" w14:textId="58F71079" w:rsidR="00176FD8" w:rsidRPr="00A52CDE" w:rsidRDefault="00985D53" w:rsidP="00176FD8">
      <w:pPr>
        <w:numPr>
          <w:ilvl w:val="0"/>
          <w:numId w:val="8"/>
        </w:numPr>
        <w:ind w:left="1134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manjka</w:t>
      </w:r>
      <w:r w:rsidR="00176FD8" w:rsidRPr="00A52CDE">
        <w:rPr>
          <w:rFonts w:ascii="Arial" w:hAnsi="Arial" w:cs="Arial"/>
          <w:szCs w:val="24"/>
          <w:lang w:val="hr-HR"/>
        </w:rPr>
        <w:t xml:space="preserve"> Grada u iznosu od </w:t>
      </w:r>
      <w:r>
        <w:rPr>
          <w:rFonts w:ascii="Arial" w:hAnsi="Arial" w:cs="Arial"/>
          <w:szCs w:val="24"/>
        </w:rPr>
        <w:t>141.891,84</w:t>
      </w:r>
      <w:r w:rsidR="00555340" w:rsidRPr="00A52CD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555340" w:rsidRPr="00A52CDE">
        <w:rPr>
          <w:rFonts w:ascii="Arial" w:hAnsi="Arial" w:cs="Arial"/>
          <w:szCs w:val="24"/>
        </w:rPr>
        <w:t>ura</w:t>
      </w:r>
    </w:p>
    <w:p w14:paraId="5DA37B9B" w14:textId="06164CF8" w:rsidR="00176FD8" w:rsidRDefault="00510EE3" w:rsidP="00176FD8">
      <w:pPr>
        <w:numPr>
          <w:ilvl w:val="0"/>
          <w:numId w:val="8"/>
        </w:numPr>
        <w:ind w:left="1134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m</w:t>
      </w:r>
      <w:r w:rsidR="008A3BBE">
        <w:rPr>
          <w:rFonts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  <w:lang w:val="hr-HR"/>
        </w:rPr>
        <w:t>njk</w:t>
      </w:r>
      <w:r w:rsidR="008A3BBE">
        <w:rPr>
          <w:rFonts w:ascii="Arial" w:hAnsi="Arial" w:cs="Arial"/>
          <w:szCs w:val="24"/>
          <w:lang w:val="hr-HR"/>
        </w:rPr>
        <w:t>a</w:t>
      </w:r>
      <w:r w:rsidR="00176FD8">
        <w:rPr>
          <w:rFonts w:ascii="Arial" w:hAnsi="Arial" w:cs="Arial"/>
          <w:szCs w:val="24"/>
          <w:lang w:val="hr-HR"/>
        </w:rPr>
        <w:t xml:space="preserve"> </w:t>
      </w:r>
      <w:r w:rsidR="00985D53">
        <w:rPr>
          <w:rFonts w:ascii="Arial" w:hAnsi="Arial" w:cs="Arial"/>
          <w:szCs w:val="24"/>
          <w:lang w:val="hr-HR"/>
        </w:rPr>
        <w:t>D</w:t>
      </w:r>
      <w:r w:rsidR="00176FD8">
        <w:rPr>
          <w:rFonts w:ascii="Arial" w:hAnsi="Arial" w:cs="Arial"/>
          <w:szCs w:val="24"/>
          <w:lang w:val="hr-HR"/>
        </w:rPr>
        <w:t xml:space="preserve">ječjeg vrtića „Pinokio“ u iznosu od </w:t>
      </w:r>
      <w:r w:rsidR="00985D53">
        <w:rPr>
          <w:rFonts w:ascii="Arial" w:hAnsi="Arial" w:cs="Arial"/>
          <w:szCs w:val="24"/>
          <w:lang w:val="hr-HR"/>
        </w:rPr>
        <w:t>109.866,68</w:t>
      </w:r>
      <w:r w:rsidR="00555340">
        <w:rPr>
          <w:rFonts w:ascii="Arial" w:hAnsi="Arial" w:cs="Arial"/>
          <w:szCs w:val="24"/>
          <w:lang w:val="hr-HR"/>
        </w:rPr>
        <w:t xml:space="preserve"> </w:t>
      </w:r>
      <w:r w:rsidR="00985D53">
        <w:rPr>
          <w:rFonts w:ascii="Arial" w:hAnsi="Arial" w:cs="Arial"/>
          <w:szCs w:val="24"/>
          <w:lang w:val="hr-HR"/>
        </w:rPr>
        <w:t>e</w:t>
      </w:r>
      <w:r w:rsidR="00555340">
        <w:rPr>
          <w:rFonts w:ascii="Arial" w:hAnsi="Arial" w:cs="Arial"/>
          <w:szCs w:val="24"/>
          <w:lang w:val="hr-HR"/>
        </w:rPr>
        <w:t>ura</w:t>
      </w:r>
    </w:p>
    <w:p w14:paraId="63C9DB1F" w14:textId="42FB37A3" w:rsidR="00176FD8" w:rsidRDefault="00555340" w:rsidP="00176FD8">
      <w:pPr>
        <w:numPr>
          <w:ilvl w:val="0"/>
          <w:numId w:val="8"/>
        </w:numPr>
        <w:ind w:left="1134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viška</w:t>
      </w:r>
      <w:r w:rsidR="00176FD8">
        <w:rPr>
          <w:rFonts w:ascii="Arial" w:hAnsi="Arial" w:cs="Arial"/>
          <w:szCs w:val="24"/>
          <w:lang w:val="hr-HR"/>
        </w:rPr>
        <w:t xml:space="preserve"> </w:t>
      </w:r>
      <w:r w:rsidR="00510EE3">
        <w:rPr>
          <w:rFonts w:ascii="Arial" w:hAnsi="Arial" w:cs="Arial"/>
          <w:szCs w:val="24"/>
          <w:lang w:val="hr-HR"/>
        </w:rPr>
        <w:t>Gradske</w:t>
      </w:r>
      <w:r w:rsidR="00176FD8">
        <w:rPr>
          <w:rFonts w:ascii="Arial" w:hAnsi="Arial" w:cs="Arial"/>
          <w:szCs w:val="24"/>
          <w:lang w:val="hr-HR"/>
        </w:rPr>
        <w:t xml:space="preserve"> knjižnice u iznosu od </w:t>
      </w:r>
      <w:r w:rsidR="00985D53">
        <w:rPr>
          <w:rFonts w:ascii="Arial" w:hAnsi="Arial" w:cs="Arial"/>
          <w:szCs w:val="24"/>
          <w:lang w:val="hr-HR"/>
        </w:rPr>
        <w:t>2.635,12</w:t>
      </w:r>
      <w:r>
        <w:rPr>
          <w:rFonts w:ascii="Arial" w:hAnsi="Arial" w:cs="Arial"/>
          <w:szCs w:val="24"/>
          <w:lang w:val="hr-HR"/>
        </w:rPr>
        <w:t xml:space="preserve"> </w:t>
      </w:r>
      <w:r w:rsidR="00985D53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>ura</w:t>
      </w:r>
    </w:p>
    <w:p w14:paraId="68125A4D" w14:textId="231F20C1" w:rsidR="00436FFF" w:rsidRDefault="00436FFF" w:rsidP="00436FFF">
      <w:pPr>
        <w:jc w:val="both"/>
        <w:rPr>
          <w:rFonts w:ascii="Arial" w:hAnsi="Arial" w:cs="Arial"/>
          <w:szCs w:val="24"/>
          <w:lang w:val="hr-HR"/>
        </w:rPr>
      </w:pPr>
    </w:p>
    <w:p w14:paraId="1670369C" w14:textId="77777777" w:rsidR="00985D53" w:rsidRDefault="00985D53" w:rsidP="00436FFF">
      <w:pPr>
        <w:jc w:val="both"/>
        <w:rPr>
          <w:rFonts w:ascii="Arial" w:hAnsi="Arial" w:cs="Arial"/>
          <w:szCs w:val="24"/>
          <w:lang w:val="hr-HR"/>
        </w:rPr>
      </w:pPr>
    </w:p>
    <w:p w14:paraId="3E58F309" w14:textId="77777777" w:rsidR="00985D53" w:rsidRDefault="00A845B9" w:rsidP="00A845B9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985D53">
        <w:rPr>
          <w:rFonts w:ascii="Arial" w:hAnsi="Arial" w:cs="Arial"/>
          <w:szCs w:val="24"/>
          <w:lang w:val="hr-HR"/>
        </w:rPr>
        <w:t xml:space="preserve">Polugodišnji/godišnji  izvještaj o izvršenju proračuna je akt u kojemu se prati izvršenje prihoda i rashoda, primitaka i izdataka i rezultata na skupini 922 u odnosu na planirani izvorni i tekući proračun. </w:t>
      </w:r>
    </w:p>
    <w:p w14:paraId="76A79A3D" w14:textId="77777777" w:rsidR="00985D53" w:rsidRDefault="00A845B9" w:rsidP="00A845B9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985D53">
        <w:rPr>
          <w:rFonts w:ascii="Arial" w:hAnsi="Arial" w:cs="Arial"/>
          <w:szCs w:val="24"/>
          <w:lang w:val="hr-HR"/>
        </w:rPr>
        <w:t xml:space="preserve">Razlika izvršenja i planiranog nije rezultat, nego više ili manje izvršene pozicije proračuna koje se prenose za sljedeće razdoblje/godinu i ne iskazuju u glavnoj knjizi JLP(R)S. </w:t>
      </w:r>
    </w:p>
    <w:p w14:paraId="50783718" w14:textId="56B7B25A" w:rsidR="00A845B9" w:rsidRPr="00985D53" w:rsidRDefault="00A845B9" w:rsidP="00A845B9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985D53">
        <w:rPr>
          <w:rFonts w:ascii="Arial" w:hAnsi="Arial" w:cs="Arial"/>
          <w:szCs w:val="24"/>
          <w:lang w:val="hr-HR"/>
        </w:rPr>
        <w:t xml:space="preserve">U izvještaju se ne traži podatak </w:t>
      </w:r>
      <w:r w:rsidR="00555340" w:rsidRPr="00985D53">
        <w:rPr>
          <w:rFonts w:ascii="Arial" w:hAnsi="Arial" w:cs="Arial"/>
          <w:szCs w:val="24"/>
          <w:lang w:val="hr-HR"/>
        </w:rPr>
        <w:t>o</w:t>
      </w:r>
      <w:r w:rsidRPr="00985D53">
        <w:rPr>
          <w:rFonts w:ascii="Arial" w:hAnsi="Arial" w:cs="Arial"/>
          <w:szCs w:val="24"/>
          <w:lang w:val="hr-HR"/>
        </w:rPr>
        <w:t xml:space="preserve"> ukupno nastalom manjku/višku već o tome koliko je pokriveno planiranog manjka u toj godini/koliko je od prenesenog viška </w:t>
      </w:r>
      <w:r w:rsidR="00822128">
        <w:rPr>
          <w:rFonts w:ascii="Arial" w:hAnsi="Arial" w:cs="Arial"/>
          <w:szCs w:val="24"/>
          <w:lang w:val="hr-HR"/>
        </w:rPr>
        <w:t>u</w:t>
      </w:r>
      <w:r w:rsidRPr="00985D53">
        <w:rPr>
          <w:rFonts w:ascii="Arial" w:hAnsi="Arial" w:cs="Arial"/>
          <w:szCs w:val="24"/>
          <w:lang w:val="hr-HR"/>
        </w:rPr>
        <w:t>trošeno na rashode u tekućoj godini.</w:t>
      </w:r>
    </w:p>
    <w:p w14:paraId="1918430C" w14:textId="5E490B61" w:rsidR="00375424" w:rsidRPr="006A5004" w:rsidRDefault="00375424" w:rsidP="002E3CF8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6A5004">
        <w:rPr>
          <w:rFonts w:ascii="Arial" w:hAnsi="Arial" w:cs="Arial"/>
          <w:szCs w:val="24"/>
          <w:lang w:val="hr-HR"/>
        </w:rPr>
        <w:t>U strukturi ukupnih prihoda i primitaka</w:t>
      </w:r>
      <w:r w:rsidR="002E3CF8" w:rsidRPr="006A5004">
        <w:rPr>
          <w:rFonts w:ascii="Arial" w:hAnsi="Arial" w:cs="Arial"/>
          <w:szCs w:val="24"/>
          <w:lang w:val="hr-HR"/>
        </w:rPr>
        <w:t xml:space="preserve"> prema vrstama, i</w:t>
      </w:r>
      <w:r w:rsidRPr="006A5004">
        <w:rPr>
          <w:rFonts w:ascii="Arial" w:hAnsi="Arial" w:cs="Arial"/>
          <w:szCs w:val="24"/>
          <w:lang w:val="hr-HR"/>
        </w:rPr>
        <w:t xml:space="preserve">znos </w:t>
      </w:r>
      <w:r w:rsidR="00555340" w:rsidRPr="006A5004">
        <w:rPr>
          <w:rFonts w:ascii="Arial" w:hAnsi="Arial" w:cs="Arial"/>
          <w:szCs w:val="24"/>
          <w:lang w:val="hr-HR"/>
        </w:rPr>
        <w:t>pomoći</w:t>
      </w:r>
      <w:r w:rsidRPr="006A5004">
        <w:rPr>
          <w:rFonts w:ascii="Arial" w:hAnsi="Arial" w:cs="Arial"/>
          <w:szCs w:val="24"/>
          <w:lang w:val="hr-HR"/>
        </w:rPr>
        <w:t xml:space="preserve"> je </w:t>
      </w:r>
      <w:r w:rsidR="002E3CF8" w:rsidRPr="006A5004">
        <w:rPr>
          <w:rFonts w:ascii="Arial" w:hAnsi="Arial" w:cs="Arial"/>
          <w:szCs w:val="24"/>
          <w:lang w:val="hr-HR"/>
        </w:rPr>
        <w:t>1.904.967,53 e</w:t>
      </w:r>
      <w:r w:rsidR="00555340" w:rsidRPr="006A5004">
        <w:rPr>
          <w:rFonts w:ascii="Arial" w:hAnsi="Arial" w:cs="Arial"/>
          <w:szCs w:val="24"/>
          <w:lang w:val="hr-HR"/>
        </w:rPr>
        <w:t>ura</w:t>
      </w:r>
      <w:r w:rsidRPr="006A5004">
        <w:rPr>
          <w:rFonts w:ascii="Arial" w:hAnsi="Arial" w:cs="Arial"/>
          <w:szCs w:val="24"/>
          <w:lang w:val="hr-HR"/>
        </w:rPr>
        <w:t xml:space="preserve">, </w:t>
      </w:r>
      <w:r w:rsidR="002E3CF8" w:rsidRPr="006A5004">
        <w:rPr>
          <w:rFonts w:ascii="Arial" w:hAnsi="Arial" w:cs="Arial"/>
          <w:szCs w:val="24"/>
          <w:lang w:val="hr-HR"/>
        </w:rPr>
        <w:t xml:space="preserve">a </w:t>
      </w:r>
      <w:r w:rsidRPr="006A5004">
        <w:rPr>
          <w:rFonts w:ascii="Arial" w:hAnsi="Arial" w:cs="Arial"/>
          <w:szCs w:val="24"/>
          <w:lang w:val="hr-HR"/>
        </w:rPr>
        <w:t xml:space="preserve">čisti izvorni prihodi iznose </w:t>
      </w:r>
      <w:r w:rsidR="002E3CF8" w:rsidRPr="006A5004">
        <w:rPr>
          <w:rFonts w:ascii="Arial" w:hAnsi="Arial" w:cs="Arial"/>
          <w:szCs w:val="24"/>
          <w:lang w:val="hr-HR"/>
        </w:rPr>
        <w:t>1.402.387,35</w:t>
      </w:r>
      <w:r w:rsidR="00555340" w:rsidRPr="006A5004">
        <w:rPr>
          <w:rFonts w:ascii="Arial" w:hAnsi="Arial" w:cs="Arial"/>
          <w:szCs w:val="24"/>
          <w:lang w:val="hr-HR"/>
        </w:rPr>
        <w:t xml:space="preserve"> </w:t>
      </w:r>
      <w:r w:rsidR="002E3CF8" w:rsidRPr="006A5004">
        <w:rPr>
          <w:rFonts w:ascii="Arial" w:hAnsi="Arial" w:cs="Arial"/>
          <w:szCs w:val="24"/>
          <w:lang w:val="hr-HR"/>
        </w:rPr>
        <w:t>e</w:t>
      </w:r>
      <w:r w:rsidR="00555340" w:rsidRPr="006A5004">
        <w:rPr>
          <w:rFonts w:ascii="Arial" w:hAnsi="Arial" w:cs="Arial"/>
          <w:szCs w:val="24"/>
          <w:lang w:val="hr-HR"/>
        </w:rPr>
        <w:t>ura</w:t>
      </w:r>
      <w:r w:rsidRPr="006A5004">
        <w:rPr>
          <w:rFonts w:ascii="Arial" w:hAnsi="Arial" w:cs="Arial"/>
          <w:szCs w:val="24"/>
          <w:lang w:val="hr-HR"/>
        </w:rPr>
        <w:t>.</w:t>
      </w:r>
    </w:p>
    <w:p w14:paraId="267A981B" w14:textId="77777777" w:rsidR="00A845B9" w:rsidRDefault="00A845B9" w:rsidP="00A845B9">
      <w:pPr>
        <w:ind w:left="720"/>
        <w:jc w:val="both"/>
        <w:rPr>
          <w:rFonts w:ascii="Arial" w:hAnsi="Arial" w:cs="Arial"/>
          <w:szCs w:val="24"/>
          <w:lang w:val="hr-HR"/>
        </w:rPr>
      </w:pPr>
    </w:p>
    <w:p w14:paraId="6D804B36" w14:textId="77777777" w:rsidR="00452B0F" w:rsidRDefault="00452B0F" w:rsidP="00A845B9">
      <w:pPr>
        <w:ind w:left="720"/>
        <w:jc w:val="both"/>
        <w:rPr>
          <w:rFonts w:ascii="Arial" w:hAnsi="Arial" w:cs="Arial"/>
          <w:szCs w:val="24"/>
          <w:lang w:val="hr-HR"/>
        </w:rPr>
      </w:pPr>
    </w:p>
    <w:p w14:paraId="567B967D" w14:textId="77777777" w:rsidR="002E3CF8" w:rsidRDefault="002E3CF8" w:rsidP="00A845B9">
      <w:pPr>
        <w:ind w:left="720"/>
        <w:jc w:val="both"/>
        <w:rPr>
          <w:rFonts w:ascii="Arial" w:hAnsi="Arial" w:cs="Arial"/>
          <w:szCs w:val="24"/>
          <w:lang w:val="hr-HR"/>
        </w:rPr>
      </w:pPr>
    </w:p>
    <w:p w14:paraId="7E754044" w14:textId="77777777" w:rsidR="00375424" w:rsidRPr="00A879C9" w:rsidRDefault="00375424" w:rsidP="001F583C">
      <w:pPr>
        <w:jc w:val="both"/>
        <w:rPr>
          <w:rFonts w:ascii="Arial" w:hAnsi="Arial" w:cs="Arial"/>
          <w:b/>
          <w:szCs w:val="24"/>
          <w:lang w:val="hr-HR"/>
        </w:rPr>
      </w:pPr>
      <w:r w:rsidRPr="00A879C9">
        <w:rPr>
          <w:rFonts w:ascii="Arial" w:hAnsi="Arial" w:cs="Arial"/>
          <w:b/>
          <w:szCs w:val="24"/>
          <w:lang w:val="hr-HR"/>
        </w:rPr>
        <w:t>3. Posebni izvještaji</w:t>
      </w:r>
    </w:p>
    <w:p w14:paraId="7D9B2AFE" w14:textId="77777777" w:rsidR="00375424" w:rsidRDefault="00375424" w:rsidP="001F583C">
      <w:pPr>
        <w:jc w:val="both"/>
        <w:rPr>
          <w:rFonts w:ascii="Arial" w:hAnsi="Arial" w:cs="Arial"/>
          <w:b/>
          <w:szCs w:val="24"/>
          <w:lang w:val="hr-HR"/>
        </w:rPr>
      </w:pPr>
    </w:p>
    <w:p w14:paraId="721D1893" w14:textId="16D50894" w:rsidR="00375424" w:rsidRPr="00375424" w:rsidRDefault="00375424" w:rsidP="001F583C">
      <w:pPr>
        <w:jc w:val="both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Cs/>
          <w:szCs w:val="24"/>
          <w:lang w:val="hr-HR"/>
        </w:rPr>
        <w:t>Sukladno članku 80. stavku 2. ZOP-a, posebni izvještaji iz članka 76. ovog  Zakona</w:t>
      </w:r>
      <w:r w:rsidR="009517BE">
        <w:rPr>
          <w:rFonts w:ascii="Arial" w:hAnsi="Arial" w:cs="Arial"/>
          <w:bCs/>
          <w:szCs w:val="24"/>
          <w:lang w:val="hr-HR"/>
        </w:rPr>
        <w:t xml:space="preserve"> te članka 23. stavka 1. </w:t>
      </w:r>
      <w:r w:rsidR="009517BE" w:rsidRPr="00117D17">
        <w:rPr>
          <w:rFonts w:ascii="Arial" w:hAnsi="Arial" w:cs="Arial"/>
          <w:szCs w:val="24"/>
          <w:lang w:val="hr-HR"/>
        </w:rPr>
        <w:t>Pravilnika</w:t>
      </w:r>
      <w:r w:rsidR="009517BE">
        <w:rPr>
          <w:rFonts w:ascii="Arial" w:hAnsi="Arial" w:cs="Arial"/>
          <w:szCs w:val="24"/>
          <w:lang w:val="hr-HR"/>
        </w:rPr>
        <w:t xml:space="preserve"> </w:t>
      </w:r>
      <w:r w:rsidR="009517BE" w:rsidRPr="00117D17">
        <w:rPr>
          <w:rFonts w:ascii="Arial" w:hAnsi="Arial" w:cs="Arial"/>
          <w:szCs w:val="24"/>
          <w:lang w:val="hr-HR"/>
        </w:rPr>
        <w:t>o polugodišnjem i godišnjem izvještaju o izvršenju proračuna</w:t>
      </w:r>
      <w:r w:rsidR="009517BE">
        <w:rPr>
          <w:rFonts w:ascii="Arial" w:hAnsi="Arial" w:cs="Arial"/>
          <w:szCs w:val="24"/>
          <w:lang w:val="hr-HR"/>
        </w:rPr>
        <w:t xml:space="preserve"> i financijskog plana</w:t>
      </w:r>
      <w:r w:rsidR="00B0507E">
        <w:rPr>
          <w:rFonts w:ascii="Arial" w:hAnsi="Arial" w:cs="Arial"/>
          <w:szCs w:val="24"/>
          <w:lang w:val="hr-HR"/>
        </w:rPr>
        <w:t xml:space="preserve">; </w:t>
      </w:r>
      <w:r w:rsidR="00B0507E">
        <w:rPr>
          <w:rFonts w:ascii="Arial" w:hAnsi="Arial" w:cs="Arial"/>
          <w:bCs/>
          <w:szCs w:val="24"/>
          <w:lang w:val="hr-HR"/>
        </w:rPr>
        <w:t>u polugodišnjem izvještaju o izvršenju proračuna su</w:t>
      </w:r>
      <w:r>
        <w:rPr>
          <w:rFonts w:ascii="Arial" w:hAnsi="Arial" w:cs="Arial"/>
          <w:bCs/>
          <w:szCs w:val="24"/>
          <w:lang w:val="hr-HR"/>
        </w:rPr>
        <w:t>:</w:t>
      </w:r>
    </w:p>
    <w:p w14:paraId="14EA582C" w14:textId="77777777" w:rsidR="00375424" w:rsidRDefault="00375424" w:rsidP="001F583C">
      <w:pPr>
        <w:jc w:val="both"/>
        <w:rPr>
          <w:rFonts w:ascii="Arial" w:hAnsi="Arial" w:cs="Arial"/>
          <w:b/>
          <w:szCs w:val="24"/>
          <w:lang w:val="hr-HR"/>
        </w:rPr>
      </w:pPr>
    </w:p>
    <w:p w14:paraId="6582CA5F" w14:textId="42D3B2F5" w:rsidR="00BC0246" w:rsidRDefault="00BC0246" w:rsidP="00BC0246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3.1. Izvještaj o korištenju proračunske zalihe</w:t>
      </w:r>
    </w:p>
    <w:p w14:paraId="659A79C6" w14:textId="77777777" w:rsidR="00BC0246" w:rsidRDefault="00BC0246" w:rsidP="00BC0246">
      <w:pPr>
        <w:jc w:val="both"/>
        <w:rPr>
          <w:rFonts w:ascii="Arial" w:hAnsi="Arial" w:cs="Arial"/>
          <w:b/>
          <w:szCs w:val="24"/>
          <w:lang w:val="hr-HR"/>
        </w:rPr>
      </w:pPr>
    </w:p>
    <w:p w14:paraId="723E83E8" w14:textId="77777777" w:rsidR="00BC0246" w:rsidRDefault="00BC0246" w:rsidP="00BC024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>Sukladno članku 65. Zakona o proračunu, sredstva proračunske pričuve mogu se koristiti za nepredviđene namjene za koje u Proračunu nisu osigurana sredstva ili za namjene za koje se tijekom godine pokaže da za njih nisu utvrđena dostatna sredstva jer ih pri planiranju nije bilo moguće predvidjeti; za financiranje rashoda nastalih pri otklanjanju posljedica elementarnih nepogoda, epidemija, ekoloških nesreća ili izvanrednih događaja i ostalih nepredviđenih nesreća, te za druge nepredviđene rashode tijekom godine. Planira se na kontu 385 a kada se tijekom godine ti rashodi realiziraju, evidentiraju se na teret računa stvarnih rashoda kojima prema vrsti pripadaju i trebaju se obrazložiti zašto su pojedine pozicije više ostvarene od planiranih. Proračunska pričuva na kontu 385 je samo u planiranju.</w:t>
      </w:r>
    </w:p>
    <w:p w14:paraId="63575975" w14:textId="14E90CEE" w:rsidR="00BC0246" w:rsidRDefault="00BC0246" w:rsidP="00BC0246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Visina sredstava proračunske zalihe jedinica utvrđuje se Odlukom o izvršavanju proračuna. U Proračunu Grada Donjeg Miholjca za </w:t>
      </w:r>
      <w:r w:rsidRPr="00400CBF">
        <w:rPr>
          <w:rFonts w:ascii="Arial" w:hAnsi="Arial" w:cs="Arial"/>
          <w:szCs w:val="24"/>
          <w:lang w:val="hr-HR"/>
        </w:rPr>
        <w:t>202</w:t>
      </w:r>
      <w:r w:rsidR="00400CBF" w:rsidRPr="00400CBF">
        <w:rPr>
          <w:rFonts w:ascii="Arial" w:hAnsi="Arial" w:cs="Arial"/>
          <w:szCs w:val="24"/>
          <w:lang w:val="hr-HR"/>
        </w:rPr>
        <w:t>5</w:t>
      </w:r>
      <w:r w:rsidRPr="00400CBF">
        <w:rPr>
          <w:rFonts w:ascii="Arial" w:hAnsi="Arial" w:cs="Arial"/>
          <w:szCs w:val="24"/>
          <w:lang w:val="hr-HR"/>
        </w:rPr>
        <w:t xml:space="preserve">. godinu planirana su sredstva u iznosu od </w:t>
      </w:r>
      <w:r w:rsidR="00D82738" w:rsidRPr="00400CBF">
        <w:rPr>
          <w:rFonts w:ascii="Arial" w:hAnsi="Arial" w:cs="Arial"/>
          <w:szCs w:val="24"/>
          <w:lang w:val="hr-HR"/>
        </w:rPr>
        <w:t>7.000,00</w:t>
      </w:r>
      <w:r w:rsidR="00B0507E" w:rsidRPr="00400CBF">
        <w:rPr>
          <w:rFonts w:ascii="Arial" w:hAnsi="Arial" w:cs="Arial"/>
          <w:szCs w:val="24"/>
          <w:lang w:val="hr-HR"/>
        </w:rPr>
        <w:t xml:space="preserve"> Eura</w:t>
      </w:r>
      <w:r w:rsidRPr="00400CBF">
        <w:rPr>
          <w:rFonts w:ascii="Arial" w:hAnsi="Arial" w:cs="Arial"/>
          <w:szCs w:val="24"/>
          <w:lang w:val="hr-HR"/>
        </w:rPr>
        <w:t>, a o korištenju p</w:t>
      </w:r>
      <w:r>
        <w:rPr>
          <w:rFonts w:ascii="Arial" w:hAnsi="Arial" w:cs="Arial"/>
          <w:szCs w:val="24"/>
          <w:lang w:val="hr-HR"/>
        </w:rPr>
        <w:t xml:space="preserve">roračunske pričuve odlučuje gradonačelnik (članak 66. Zakona), koji je dužan tromjesečno izvijestiti predstavničko tijelo o korištenju iste. </w:t>
      </w:r>
    </w:p>
    <w:p w14:paraId="290FD936" w14:textId="74B9AFDE" w:rsidR="00BC0246" w:rsidRDefault="00BC0246" w:rsidP="00BC024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Iz sredstava za </w:t>
      </w:r>
      <w:r>
        <w:rPr>
          <w:rFonts w:ascii="Arial" w:hAnsi="Arial" w:cs="Arial"/>
          <w:b/>
          <w:szCs w:val="24"/>
          <w:lang w:val="hr-HR"/>
        </w:rPr>
        <w:t>proračunske pričuve</w:t>
      </w:r>
      <w:r w:rsidR="00FF0214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u promatranom izvještajnom razdoblju temeljem Odluka gradonačelnika nije bilo rashoda.</w:t>
      </w:r>
    </w:p>
    <w:p w14:paraId="600CC22F" w14:textId="77777777" w:rsidR="00BC0246" w:rsidRDefault="00BC0246" w:rsidP="00BC024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264"/>
        <w:gridCol w:w="4037"/>
        <w:gridCol w:w="1542"/>
      </w:tblGrid>
      <w:tr w:rsidR="00BC0246" w14:paraId="24B19587" w14:textId="77777777" w:rsidTr="004C3612">
        <w:trPr>
          <w:trHeight w:val="5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F8C" w14:textId="77777777" w:rsidR="00BC0246" w:rsidRDefault="00BC0246" w:rsidP="004C3612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Datum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2BF7" w14:textId="77777777" w:rsidR="00BC0246" w:rsidRDefault="00BC0246" w:rsidP="004C3612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Izvod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A855" w14:textId="77777777" w:rsidR="00BC0246" w:rsidRDefault="00BC0246" w:rsidP="004C3612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7343" w14:textId="77777777" w:rsidR="00BC0246" w:rsidRDefault="00BC0246" w:rsidP="004C3612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Iznos kn</w:t>
            </w:r>
          </w:p>
        </w:tc>
      </w:tr>
      <w:tr w:rsidR="00BC0246" w14:paraId="1B628E81" w14:textId="77777777" w:rsidTr="004C36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1AC2" w14:textId="77777777" w:rsidR="00BC0246" w:rsidRDefault="00BC0246" w:rsidP="004C361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5F96" w14:textId="77777777" w:rsidR="00BC0246" w:rsidRDefault="00BC0246" w:rsidP="004C361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F8E6" w14:textId="77777777" w:rsidR="00BC0246" w:rsidRDefault="00BC0246" w:rsidP="004C3612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6FB0" w14:textId="77777777" w:rsidR="00BC0246" w:rsidRDefault="00BC0246" w:rsidP="004C3612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</w:tr>
      <w:tr w:rsidR="00BC0246" w14:paraId="4E6F4FF4" w14:textId="77777777" w:rsidTr="004C36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CFE" w14:textId="77777777" w:rsidR="00BC0246" w:rsidRDefault="00BC0246" w:rsidP="004C361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839A" w14:textId="77777777" w:rsidR="00BC0246" w:rsidRDefault="00BC0246" w:rsidP="004C3612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828" w14:textId="77777777" w:rsidR="00BC0246" w:rsidRDefault="00BC0246" w:rsidP="004C3612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7B9" w14:textId="77777777" w:rsidR="00BC0246" w:rsidRDefault="00BC0246" w:rsidP="004C3612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</w:tr>
    </w:tbl>
    <w:p w14:paraId="3B4F844D" w14:textId="77777777" w:rsidR="00400CBF" w:rsidRDefault="00400CBF" w:rsidP="001F583C">
      <w:pPr>
        <w:jc w:val="both"/>
        <w:rPr>
          <w:rFonts w:ascii="Arial" w:hAnsi="Arial" w:cs="Arial"/>
          <w:b/>
          <w:szCs w:val="24"/>
          <w:lang w:val="hr-HR"/>
        </w:rPr>
      </w:pPr>
    </w:p>
    <w:p w14:paraId="5E0D655F" w14:textId="2D446100" w:rsidR="00EA2786" w:rsidRDefault="00EA2786" w:rsidP="00EA2786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3.2.  Izvještaj o zaduživanju na domaćem i stranom tržištu novca i kapitala</w:t>
      </w:r>
    </w:p>
    <w:p w14:paraId="42F6C328" w14:textId="77777777" w:rsidR="00EA2786" w:rsidRDefault="00EA2786" w:rsidP="00EA2786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</w:p>
    <w:p w14:paraId="0FA9A09D" w14:textId="77777777" w:rsidR="00EA2786" w:rsidRPr="00394398" w:rsidRDefault="00EA2786" w:rsidP="00EA278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 xml:space="preserve">Zaduživanje JLP(R)S je regulirano Zakonom o proračunu i Pravilnikom o postupku zaduživanja te davanja jamstava i suglasnosti JLP(R)S </w:t>
      </w:r>
      <w:r w:rsidRPr="00117D17">
        <w:rPr>
          <w:rFonts w:ascii="Arial" w:hAnsi="Arial" w:cs="Arial"/>
          <w:szCs w:val="24"/>
          <w:lang w:val="hr-HR"/>
        </w:rPr>
        <w:t xml:space="preserve">(„Narodne </w:t>
      </w:r>
      <w:r w:rsidRPr="00117D17">
        <w:rPr>
          <w:rFonts w:ascii="Arial" w:hAnsi="Arial" w:cs="Arial"/>
          <w:szCs w:val="24"/>
          <w:lang w:val="hr-HR"/>
        </w:rPr>
        <w:lastRenderedPageBreak/>
        <w:t xml:space="preserve">novine“ broj </w:t>
      </w:r>
      <w:r>
        <w:rPr>
          <w:rFonts w:ascii="Arial" w:hAnsi="Arial" w:cs="Arial"/>
          <w:szCs w:val="24"/>
          <w:lang w:val="hr-HR"/>
        </w:rPr>
        <w:t>67/22). Sukladno člancima 118.-120. Zakona, jedinica se može dugoročno zadužiti samo za investiciju koju potvrdi njeno predstavničko tijelo uz suglasnost Vlade RH.</w:t>
      </w:r>
    </w:p>
    <w:p w14:paraId="79835AA8" w14:textId="77777777" w:rsidR="00EA2786" w:rsidRDefault="00EA2786" w:rsidP="00EA2786">
      <w:pPr>
        <w:jc w:val="both"/>
        <w:rPr>
          <w:rFonts w:ascii="Arial" w:hAnsi="Arial" w:cs="Arial"/>
          <w:szCs w:val="24"/>
          <w:lang w:val="hr-HR"/>
        </w:rPr>
      </w:pPr>
    </w:p>
    <w:p w14:paraId="3F39E501" w14:textId="77777777" w:rsidR="00EA2786" w:rsidRDefault="00EA2786" w:rsidP="00EA2786">
      <w:pPr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Tablica 3. Primljeni  krediti i zajmovi, te otplate</w:t>
      </w:r>
    </w:p>
    <w:p w14:paraId="2B132883" w14:textId="77777777" w:rsidR="00EA2786" w:rsidRDefault="00EA2786" w:rsidP="00EA2786">
      <w:pPr>
        <w:ind w:firstLine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Nije bilo zaduživanja ni u Gradu niti kod proračunskih korisnika.</w:t>
      </w:r>
    </w:p>
    <w:p w14:paraId="1905F891" w14:textId="77777777" w:rsidR="00EA2786" w:rsidRDefault="00EA2786" w:rsidP="00EA278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14:paraId="151D9763" w14:textId="77777777" w:rsidR="00EA2786" w:rsidRDefault="00EA2786" w:rsidP="00EA2786">
      <w:pPr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Tablica 4. Dospjele kamate na kredite i zajmove</w:t>
      </w:r>
    </w:p>
    <w:p w14:paraId="58B9DF93" w14:textId="77777777" w:rsidR="00EA2786" w:rsidRDefault="00EA2786" w:rsidP="00EA278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>Kamata na kredite i zajmove nije bilo.</w:t>
      </w:r>
    </w:p>
    <w:p w14:paraId="6C52AA94" w14:textId="6DC2DCE5" w:rsidR="00375424" w:rsidRDefault="00375424" w:rsidP="001F583C">
      <w:pPr>
        <w:jc w:val="both"/>
        <w:rPr>
          <w:rFonts w:ascii="Arial" w:hAnsi="Arial" w:cs="Arial"/>
          <w:b/>
          <w:szCs w:val="24"/>
          <w:lang w:val="hr-HR"/>
        </w:rPr>
      </w:pPr>
    </w:p>
    <w:p w14:paraId="1A3ECCC6" w14:textId="77777777" w:rsidR="00375424" w:rsidRDefault="00375424" w:rsidP="001F583C">
      <w:pPr>
        <w:jc w:val="both"/>
        <w:rPr>
          <w:rFonts w:ascii="Arial" w:hAnsi="Arial" w:cs="Arial"/>
          <w:b/>
          <w:szCs w:val="24"/>
          <w:lang w:val="hr-HR"/>
        </w:rPr>
      </w:pPr>
    </w:p>
    <w:p w14:paraId="57A6A999" w14:textId="4D50286A" w:rsidR="001F583C" w:rsidRDefault="0018538E" w:rsidP="001F583C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3</w:t>
      </w:r>
      <w:r w:rsidR="001F583C">
        <w:rPr>
          <w:rFonts w:ascii="Arial" w:hAnsi="Arial" w:cs="Arial"/>
          <w:b/>
          <w:szCs w:val="24"/>
          <w:lang w:val="hr-HR"/>
        </w:rPr>
        <w:t>.</w:t>
      </w:r>
      <w:r>
        <w:rPr>
          <w:rFonts w:ascii="Arial" w:hAnsi="Arial" w:cs="Arial"/>
          <w:b/>
          <w:szCs w:val="24"/>
          <w:lang w:val="hr-HR"/>
        </w:rPr>
        <w:t>3.</w:t>
      </w:r>
      <w:r w:rsidR="001F583C">
        <w:rPr>
          <w:rFonts w:ascii="Arial" w:hAnsi="Arial" w:cs="Arial"/>
          <w:b/>
          <w:szCs w:val="24"/>
          <w:lang w:val="hr-HR"/>
        </w:rPr>
        <w:t xml:space="preserve"> Izvještaj o danim jamstvima</w:t>
      </w:r>
      <w:r w:rsidR="00EA2786">
        <w:rPr>
          <w:rFonts w:ascii="Arial" w:hAnsi="Arial" w:cs="Arial"/>
          <w:b/>
          <w:szCs w:val="24"/>
          <w:lang w:val="hr-HR"/>
        </w:rPr>
        <w:t xml:space="preserve"> i plaćanjima po protestiranim jamstvima</w:t>
      </w:r>
    </w:p>
    <w:p w14:paraId="2FC54154" w14:textId="77777777" w:rsidR="001F583C" w:rsidRDefault="001F583C" w:rsidP="001F583C">
      <w:pPr>
        <w:jc w:val="both"/>
        <w:rPr>
          <w:rFonts w:ascii="Arial" w:hAnsi="Arial" w:cs="Arial"/>
          <w:b/>
          <w:szCs w:val="24"/>
          <w:lang w:val="hr-HR"/>
        </w:rPr>
      </w:pPr>
    </w:p>
    <w:p w14:paraId="3D67F8D3" w14:textId="68E1C11B" w:rsidR="001F583C" w:rsidRDefault="001F583C" w:rsidP="001F583C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  <w:r w:rsidRPr="004C15D1">
        <w:rPr>
          <w:rFonts w:ascii="Arial" w:hAnsi="Arial" w:cs="Arial"/>
          <w:szCs w:val="24"/>
          <w:lang w:val="hr-HR"/>
        </w:rPr>
        <w:t xml:space="preserve">Sukladno članku </w:t>
      </w:r>
      <w:r>
        <w:rPr>
          <w:rFonts w:ascii="Arial" w:hAnsi="Arial" w:cs="Arial"/>
          <w:szCs w:val="24"/>
          <w:lang w:val="hr-HR"/>
        </w:rPr>
        <w:t>12</w:t>
      </w:r>
      <w:r w:rsidR="00D82738">
        <w:rPr>
          <w:rFonts w:ascii="Arial" w:hAnsi="Arial" w:cs="Arial"/>
          <w:szCs w:val="24"/>
          <w:lang w:val="hr-HR"/>
        </w:rPr>
        <w:t>0</w:t>
      </w:r>
      <w:r w:rsidRPr="004C15D1">
        <w:rPr>
          <w:rFonts w:ascii="Arial" w:hAnsi="Arial" w:cs="Arial"/>
          <w:szCs w:val="24"/>
          <w:lang w:val="hr-HR"/>
        </w:rPr>
        <w:t>. Zakona o proraču</w:t>
      </w:r>
      <w:r>
        <w:rPr>
          <w:rFonts w:ascii="Arial" w:hAnsi="Arial" w:cs="Arial"/>
          <w:szCs w:val="24"/>
          <w:lang w:val="hr-HR"/>
        </w:rPr>
        <w:t>nu, JLP(R)S može dati jamstvo pravnoj osobi u njezinom većinskom izravnom ili neizravnom vlasništvu i ustanovi čiji je osnivač, za ispunjenje obveza pravne osobe i ustanove. Jamstv</w:t>
      </w:r>
      <w:r w:rsidR="00837F8D">
        <w:rPr>
          <w:rFonts w:ascii="Arial" w:hAnsi="Arial" w:cs="Arial"/>
          <w:szCs w:val="24"/>
          <w:lang w:val="hr-HR"/>
        </w:rPr>
        <w:t>o</w:t>
      </w:r>
      <w:r>
        <w:rPr>
          <w:rFonts w:ascii="Arial" w:hAnsi="Arial" w:cs="Arial"/>
          <w:szCs w:val="24"/>
          <w:lang w:val="hr-HR"/>
        </w:rPr>
        <w:t xml:space="preserve"> koj</w:t>
      </w:r>
      <w:r w:rsidR="00837F8D">
        <w:rPr>
          <w:rFonts w:ascii="Arial" w:hAnsi="Arial" w:cs="Arial"/>
          <w:szCs w:val="24"/>
          <w:lang w:val="hr-HR"/>
        </w:rPr>
        <w:t>e</w:t>
      </w:r>
      <w:r w:rsidR="007B2502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je izdao Grad za trgovačk</w:t>
      </w:r>
      <w:r w:rsidR="00837F8D">
        <w:rPr>
          <w:rFonts w:ascii="Arial" w:hAnsi="Arial" w:cs="Arial"/>
          <w:szCs w:val="24"/>
          <w:lang w:val="hr-HR"/>
        </w:rPr>
        <w:t>o</w:t>
      </w:r>
      <w:r>
        <w:rPr>
          <w:rFonts w:ascii="Arial" w:hAnsi="Arial" w:cs="Arial"/>
          <w:szCs w:val="24"/>
          <w:lang w:val="hr-HR"/>
        </w:rPr>
        <w:t xml:space="preserve"> društv</w:t>
      </w:r>
      <w:r w:rsidR="00837F8D">
        <w:rPr>
          <w:rFonts w:ascii="Arial" w:hAnsi="Arial" w:cs="Arial"/>
          <w:szCs w:val="24"/>
          <w:lang w:val="hr-HR"/>
        </w:rPr>
        <w:t>o</w:t>
      </w:r>
      <w:r>
        <w:rPr>
          <w:rFonts w:ascii="Arial" w:hAnsi="Arial" w:cs="Arial"/>
          <w:szCs w:val="24"/>
          <w:lang w:val="hr-HR"/>
        </w:rPr>
        <w:t>, ist</w:t>
      </w:r>
      <w:r w:rsidR="00837F8D">
        <w:rPr>
          <w:rFonts w:ascii="Arial" w:hAnsi="Arial" w:cs="Arial"/>
          <w:szCs w:val="24"/>
          <w:lang w:val="hr-HR"/>
        </w:rPr>
        <w:t>o</w:t>
      </w:r>
      <w:r>
        <w:rPr>
          <w:rFonts w:ascii="Arial" w:hAnsi="Arial" w:cs="Arial"/>
          <w:szCs w:val="24"/>
          <w:lang w:val="hr-HR"/>
        </w:rPr>
        <w:t xml:space="preserve"> redovno otplaćuj</w:t>
      </w:r>
      <w:r w:rsidR="00837F8D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 kredite.</w:t>
      </w:r>
    </w:p>
    <w:p w14:paraId="58C1912A" w14:textId="77777777" w:rsidR="001F583C" w:rsidRPr="004C15D1" w:rsidRDefault="001F583C" w:rsidP="001F583C">
      <w:pPr>
        <w:jc w:val="both"/>
        <w:rPr>
          <w:rFonts w:ascii="Arial" w:hAnsi="Arial" w:cs="Arial"/>
          <w:szCs w:val="24"/>
          <w:lang w:val="hr-HR"/>
        </w:rPr>
      </w:pPr>
    </w:p>
    <w:p w14:paraId="14EAE249" w14:textId="77777777" w:rsidR="001F583C" w:rsidRDefault="001F583C" w:rsidP="001F583C">
      <w:pPr>
        <w:ind w:firstLine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Tablica 1. Dana jamstva</w:t>
      </w:r>
    </w:p>
    <w:p w14:paraId="11F7BED3" w14:textId="77777777" w:rsidR="001F583C" w:rsidRDefault="001F583C" w:rsidP="001F583C">
      <w:pPr>
        <w:ind w:firstLine="720"/>
        <w:rPr>
          <w:rFonts w:ascii="Arial" w:hAnsi="Arial" w:cs="Arial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4252"/>
      </w:tblGrid>
      <w:tr w:rsidR="001F583C" w:rsidRPr="00EE4F1F" w14:paraId="6DE79BCF" w14:textId="77777777" w:rsidTr="004C3612">
        <w:tc>
          <w:tcPr>
            <w:tcW w:w="4360" w:type="dxa"/>
          </w:tcPr>
          <w:p w14:paraId="68604FE2" w14:textId="77777777" w:rsidR="001F583C" w:rsidRPr="00EE4F1F" w:rsidRDefault="001F583C" w:rsidP="004C3612">
            <w:pPr>
              <w:rPr>
                <w:rFonts w:ascii="Arial" w:hAnsi="Arial" w:cs="Arial"/>
                <w:szCs w:val="24"/>
                <w:lang w:val="hr-HR"/>
              </w:rPr>
            </w:pPr>
            <w:r w:rsidRPr="00EE4F1F">
              <w:rPr>
                <w:rFonts w:ascii="Arial" w:hAnsi="Arial" w:cs="Arial"/>
                <w:szCs w:val="24"/>
                <w:lang w:val="hr-HR"/>
              </w:rPr>
              <w:t xml:space="preserve">                   OPIS</w:t>
            </w:r>
          </w:p>
        </w:tc>
        <w:tc>
          <w:tcPr>
            <w:tcW w:w="4361" w:type="dxa"/>
          </w:tcPr>
          <w:p w14:paraId="51E589E3" w14:textId="77777777" w:rsidR="001F583C" w:rsidRPr="00EE4F1F" w:rsidRDefault="001F583C" w:rsidP="004C3612">
            <w:pPr>
              <w:rPr>
                <w:rFonts w:ascii="Arial" w:hAnsi="Arial" w:cs="Arial"/>
                <w:szCs w:val="24"/>
                <w:lang w:val="hr-HR"/>
              </w:rPr>
            </w:pPr>
            <w:r w:rsidRPr="00EE4F1F">
              <w:rPr>
                <w:rFonts w:ascii="Arial" w:hAnsi="Arial" w:cs="Arial"/>
                <w:szCs w:val="24"/>
                <w:lang w:val="hr-HR"/>
              </w:rPr>
              <w:t xml:space="preserve">                     IZNOS</w:t>
            </w:r>
          </w:p>
        </w:tc>
      </w:tr>
      <w:tr w:rsidR="001F583C" w:rsidRPr="00EE4F1F" w14:paraId="6AC8C796" w14:textId="77777777" w:rsidTr="004C3612">
        <w:tc>
          <w:tcPr>
            <w:tcW w:w="4360" w:type="dxa"/>
          </w:tcPr>
          <w:p w14:paraId="695145F0" w14:textId="77777777" w:rsidR="001F583C" w:rsidRPr="00EE4F1F" w:rsidRDefault="001F583C" w:rsidP="004C36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E4F1F">
              <w:rPr>
                <w:rFonts w:ascii="Arial" w:hAnsi="Arial" w:cs="Arial"/>
                <w:sz w:val="22"/>
                <w:szCs w:val="22"/>
                <w:lang w:val="hr-HR"/>
              </w:rPr>
              <w:t>Stanje aktivnih jamstava 01.01.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361" w:type="dxa"/>
          </w:tcPr>
          <w:p w14:paraId="6DF4FE32" w14:textId="09DE261A" w:rsidR="001F583C" w:rsidRPr="00EE4F1F" w:rsidRDefault="00BD5DB1" w:rsidP="004C3612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381.590,85</w:t>
            </w:r>
          </w:p>
        </w:tc>
      </w:tr>
      <w:tr w:rsidR="001F583C" w:rsidRPr="00EE4F1F" w14:paraId="715DADCE" w14:textId="77777777" w:rsidTr="004C3612">
        <w:tc>
          <w:tcPr>
            <w:tcW w:w="4360" w:type="dxa"/>
          </w:tcPr>
          <w:p w14:paraId="339DB669" w14:textId="77777777" w:rsidR="001F583C" w:rsidRPr="00EE4F1F" w:rsidRDefault="001F583C" w:rsidP="004C36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E4F1F">
              <w:rPr>
                <w:rFonts w:ascii="Arial" w:hAnsi="Arial" w:cs="Arial"/>
                <w:sz w:val="22"/>
                <w:szCs w:val="22"/>
                <w:lang w:val="hr-HR"/>
              </w:rPr>
              <w:t>Izdana jamstva u tekućoj godini</w:t>
            </w:r>
          </w:p>
        </w:tc>
        <w:tc>
          <w:tcPr>
            <w:tcW w:w="4361" w:type="dxa"/>
          </w:tcPr>
          <w:p w14:paraId="446BA9CB" w14:textId="65C5322C" w:rsidR="001F583C" w:rsidRPr="00EE4F1F" w:rsidRDefault="001F583C" w:rsidP="004C36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1F583C" w:rsidRPr="00EE4F1F" w14:paraId="69BD191E" w14:textId="77777777" w:rsidTr="004C3612">
        <w:tc>
          <w:tcPr>
            <w:tcW w:w="4360" w:type="dxa"/>
          </w:tcPr>
          <w:p w14:paraId="31E1A89B" w14:textId="77777777" w:rsidR="001F583C" w:rsidRPr="00EE4F1F" w:rsidRDefault="001F583C" w:rsidP="004C36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E4F1F">
              <w:rPr>
                <w:rFonts w:ascii="Arial" w:hAnsi="Arial" w:cs="Arial"/>
                <w:sz w:val="22"/>
                <w:szCs w:val="22"/>
                <w:lang w:val="hr-HR"/>
              </w:rPr>
              <w:t>Jamstva istekla u tekućoj godini</w:t>
            </w:r>
          </w:p>
        </w:tc>
        <w:tc>
          <w:tcPr>
            <w:tcW w:w="4361" w:type="dxa"/>
          </w:tcPr>
          <w:p w14:paraId="390E0405" w14:textId="77777777" w:rsidR="001F583C" w:rsidRPr="00EE4F1F" w:rsidRDefault="001F583C" w:rsidP="004C36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1F583C" w:rsidRPr="00EE4F1F" w14:paraId="339DAEE8" w14:textId="77777777" w:rsidTr="004C3612">
        <w:tc>
          <w:tcPr>
            <w:tcW w:w="4360" w:type="dxa"/>
          </w:tcPr>
          <w:p w14:paraId="167983EB" w14:textId="77777777" w:rsidR="001F583C" w:rsidRPr="00EE4F1F" w:rsidRDefault="001F583C" w:rsidP="004C361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E4F1F">
              <w:rPr>
                <w:rFonts w:ascii="Arial" w:hAnsi="Arial" w:cs="Arial"/>
                <w:sz w:val="22"/>
                <w:szCs w:val="22"/>
                <w:lang w:val="hr-HR"/>
              </w:rPr>
              <w:t>Stanje aktivnih jamstava 3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  <w:r w:rsidRPr="00EE4F1F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06</w:t>
            </w:r>
            <w:r w:rsidRPr="00EE4F1F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361" w:type="dxa"/>
          </w:tcPr>
          <w:p w14:paraId="4EC6970D" w14:textId="74610875" w:rsidR="001F583C" w:rsidRPr="00EE4F1F" w:rsidRDefault="00BD5DB1" w:rsidP="004C3612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315.231,76</w:t>
            </w:r>
          </w:p>
        </w:tc>
      </w:tr>
    </w:tbl>
    <w:p w14:paraId="434BC44F" w14:textId="77777777" w:rsidR="001F583C" w:rsidRDefault="001F583C" w:rsidP="001F583C">
      <w:pPr>
        <w:rPr>
          <w:rFonts w:ascii="Arial" w:hAnsi="Arial" w:cs="Arial"/>
          <w:szCs w:val="24"/>
          <w:lang w:val="hr-HR"/>
        </w:rPr>
      </w:pPr>
      <w:r w:rsidRPr="00EF6D2D">
        <w:rPr>
          <w:rFonts w:ascii="Arial" w:hAnsi="Arial" w:cs="Arial"/>
          <w:szCs w:val="24"/>
          <w:lang w:val="hr-HR"/>
        </w:rPr>
        <w:t xml:space="preserve">  </w:t>
      </w:r>
    </w:p>
    <w:p w14:paraId="4CB6F639" w14:textId="6FE2A4D4" w:rsidR="001F583C" w:rsidRDefault="001F583C" w:rsidP="001F583C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Stanje aktivnih jamstava</w:t>
      </w:r>
      <w:r w:rsidR="0057380B">
        <w:rPr>
          <w:rFonts w:ascii="Arial" w:hAnsi="Arial" w:cs="Arial"/>
          <w:szCs w:val="24"/>
          <w:lang w:val="hr-HR"/>
        </w:rPr>
        <w:t xml:space="preserve"> i suglasnosti </w:t>
      </w:r>
      <w:r>
        <w:rPr>
          <w:rFonts w:ascii="Arial" w:hAnsi="Arial" w:cs="Arial"/>
          <w:szCs w:val="24"/>
          <w:lang w:val="hr-HR"/>
        </w:rPr>
        <w:t>na dan 01. siječnja 202</w:t>
      </w:r>
      <w:r w:rsidR="00BD5DB1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 xml:space="preserve">. godine odnosi se na iznos  od </w:t>
      </w:r>
      <w:r w:rsidR="004C7F7F">
        <w:rPr>
          <w:rFonts w:ascii="Arial" w:hAnsi="Arial" w:cs="Arial"/>
          <w:szCs w:val="24"/>
          <w:lang w:val="hr-HR"/>
        </w:rPr>
        <w:t xml:space="preserve">199.084,21 </w:t>
      </w:r>
      <w:r w:rsidR="00DB7D7F">
        <w:rPr>
          <w:rFonts w:ascii="Arial" w:hAnsi="Arial" w:cs="Arial"/>
          <w:szCs w:val="24"/>
          <w:lang w:val="hr-HR"/>
        </w:rPr>
        <w:t>e</w:t>
      </w:r>
      <w:r w:rsidR="004C7F7F">
        <w:rPr>
          <w:rFonts w:ascii="Arial" w:hAnsi="Arial" w:cs="Arial"/>
          <w:szCs w:val="24"/>
          <w:lang w:val="hr-HR"/>
        </w:rPr>
        <w:t>ur</w:t>
      </w:r>
      <w:r w:rsidR="0057380B">
        <w:rPr>
          <w:rFonts w:ascii="Arial" w:hAnsi="Arial" w:cs="Arial"/>
          <w:szCs w:val="24"/>
          <w:lang w:val="hr-HR"/>
        </w:rPr>
        <w:t>o</w:t>
      </w:r>
      <w:r>
        <w:rPr>
          <w:rFonts w:ascii="Arial" w:hAnsi="Arial" w:cs="Arial"/>
          <w:szCs w:val="24"/>
          <w:lang w:val="hr-HR"/>
        </w:rPr>
        <w:t xml:space="preserve"> od 30.09.2020. godine na rok od 10 godina za komunalnu opremu.</w:t>
      </w:r>
      <w:r w:rsidR="00DB7D7F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Tijekom 2022. godine gradsko poduzeće „Doroslov“ za komunalnu opremu podiže kredit u iznosu od 1</w:t>
      </w:r>
      <w:r w:rsidR="004C7F7F">
        <w:rPr>
          <w:rFonts w:ascii="Arial" w:hAnsi="Arial" w:cs="Arial"/>
          <w:szCs w:val="24"/>
          <w:lang w:val="hr-HR"/>
        </w:rPr>
        <w:t xml:space="preserve">54.316,80 </w:t>
      </w:r>
      <w:r w:rsidR="00DB7D7F">
        <w:rPr>
          <w:rFonts w:ascii="Arial" w:hAnsi="Arial" w:cs="Arial"/>
          <w:szCs w:val="24"/>
          <w:lang w:val="hr-HR"/>
        </w:rPr>
        <w:t>e</w:t>
      </w:r>
      <w:r w:rsidR="004C7F7F">
        <w:rPr>
          <w:rFonts w:ascii="Arial" w:hAnsi="Arial" w:cs="Arial"/>
          <w:szCs w:val="24"/>
          <w:lang w:val="hr-HR"/>
        </w:rPr>
        <w:t>uro</w:t>
      </w:r>
      <w:r>
        <w:rPr>
          <w:rFonts w:ascii="Arial" w:hAnsi="Arial" w:cs="Arial"/>
          <w:szCs w:val="24"/>
          <w:lang w:val="hr-HR"/>
        </w:rPr>
        <w:t xml:space="preserve"> s početkom otplate 31. listopada 2022. godine, na deset godina otplate za koje mu je Grad dao suglasnost u prosincu 2021. godine.</w:t>
      </w:r>
      <w:r w:rsidR="004C7F7F">
        <w:rPr>
          <w:rFonts w:ascii="Arial" w:hAnsi="Arial" w:cs="Arial"/>
          <w:szCs w:val="24"/>
          <w:lang w:val="hr-HR"/>
        </w:rPr>
        <w:t xml:space="preserve"> </w:t>
      </w:r>
      <w:r w:rsidR="007B2502">
        <w:rPr>
          <w:rFonts w:ascii="Arial" w:hAnsi="Arial" w:cs="Arial"/>
          <w:szCs w:val="24"/>
          <w:lang w:val="hr-HR"/>
        </w:rPr>
        <w:t xml:space="preserve">2023. </w:t>
      </w:r>
      <w:r w:rsidR="004C7F7F">
        <w:rPr>
          <w:rFonts w:ascii="Arial" w:hAnsi="Arial" w:cs="Arial"/>
          <w:szCs w:val="24"/>
          <w:lang w:val="hr-HR"/>
        </w:rPr>
        <w:t xml:space="preserve">godine u veljači  isto to poduzeće uzima kredit od 46.452,98 </w:t>
      </w:r>
      <w:r w:rsidR="00DB7D7F">
        <w:rPr>
          <w:rFonts w:ascii="Arial" w:hAnsi="Arial" w:cs="Arial"/>
          <w:szCs w:val="24"/>
          <w:lang w:val="hr-HR"/>
        </w:rPr>
        <w:t>e</w:t>
      </w:r>
      <w:r w:rsidR="004C7F7F">
        <w:rPr>
          <w:rFonts w:ascii="Arial" w:hAnsi="Arial" w:cs="Arial"/>
          <w:szCs w:val="24"/>
          <w:lang w:val="hr-HR"/>
        </w:rPr>
        <w:t>ura za nabavu parkirnih aparata na dvije i pol godine</w:t>
      </w:r>
      <w:r w:rsidR="00837F8D">
        <w:rPr>
          <w:rFonts w:ascii="Arial" w:hAnsi="Arial" w:cs="Arial"/>
          <w:szCs w:val="24"/>
          <w:lang w:val="hr-HR"/>
        </w:rPr>
        <w:t xml:space="preserve"> (2,5)</w:t>
      </w:r>
      <w:r w:rsidR="004C7F7F">
        <w:rPr>
          <w:rFonts w:ascii="Arial" w:hAnsi="Arial" w:cs="Arial"/>
          <w:szCs w:val="24"/>
          <w:lang w:val="hr-HR"/>
        </w:rPr>
        <w:t xml:space="preserve"> s početkom otplate u travnju a Grad je dao suglasnost za zaduživanje</w:t>
      </w:r>
      <w:r w:rsidR="00FF0214">
        <w:rPr>
          <w:rFonts w:ascii="Arial" w:hAnsi="Arial" w:cs="Arial"/>
          <w:szCs w:val="24"/>
          <w:lang w:val="hr-HR"/>
        </w:rPr>
        <w:t xml:space="preserve"> </w:t>
      </w:r>
      <w:r w:rsidR="004C7F7F">
        <w:rPr>
          <w:rFonts w:ascii="Arial" w:hAnsi="Arial" w:cs="Arial"/>
          <w:szCs w:val="24"/>
          <w:lang w:val="hr-HR"/>
        </w:rPr>
        <w:t>17. studenog</w:t>
      </w:r>
      <w:r w:rsidR="00FF0214">
        <w:rPr>
          <w:rFonts w:ascii="Arial" w:hAnsi="Arial" w:cs="Arial"/>
          <w:szCs w:val="24"/>
          <w:lang w:val="hr-HR"/>
        </w:rPr>
        <w:t xml:space="preserve"> </w:t>
      </w:r>
      <w:r w:rsidR="004C7F7F">
        <w:rPr>
          <w:rFonts w:ascii="Arial" w:hAnsi="Arial" w:cs="Arial"/>
          <w:szCs w:val="24"/>
          <w:lang w:val="hr-HR"/>
        </w:rPr>
        <w:t xml:space="preserve">2022. godine. </w:t>
      </w:r>
      <w:r w:rsidR="00600778">
        <w:rPr>
          <w:rFonts w:ascii="Arial" w:hAnsi="Arial" w:cs="Arial"/>
          <w:szCs w:val="24"/>
          <w:lang w:val="hr-HR"/>
        </w:rPr>
        <w:t xml:space="preserve">Grad daje suglasnost </w:t>
      </w:r>
      <w:r w:rsidR="00DB7D7F">
        <w:rPr>
          <w:rFonts w:ascii="Arial" w:hAnsi="Arial" w:cs="Arial"/>
          <w:szCs w:val="24"/>
          <w:lang w:val="hr-HR"/>
        </w:rPr>
        <w:t>gradskom</w:t>
      </w:r>
      <w:r w:rsidR="00600778">
        <w:rPr>
          <w:rFonts w:ascii="Arial" w:hAnsi="Arial" w:cs="Arial"/>
          <w:szCs w:val="24"/>
          <w:lang w:val="hr-HR"/>
        </w:rPr>
        <w:t xml:space="preserve"> poduzeću</w:t>
      </w:r>
      <w:r w:rsidR="00DB7D7F">
        <w:rPr>
          <w:rFonts w:ascii="Arial" w:hAnsi="Arial" w:cs="Arial"/>
          <w:szCs w:val="24"/>
          <w:lang w:val="hr-HR"/>
        </w:rPr>
        <w:t xml:space="preserve"> „Doroslov“</w:t>
      </w:r>
      <w:r w:rsidR="00600778">
        <w:rPr>
          <w:rFonts w:ascii="Arial" w:hAnsi="Arial" w:cs="Arial"/>
          <w:szCs w:val="24"/>
          <w:lang w:val="hr-HR"/>
        </w:rPr>
        <w:t xml:space="preserve"> 27. ožujka 2024. godine za zaduženje</w:t>
      </w:r>
      <w:r w:rsidR="00DB7D7F">
        <w:rPr>
          <w:rFonts w:ascii="Arial" w:hAnsi="Arial" w:cs="Arial"/>
          <w:szCs w:val="24"/>
          <w:lang w:val="hr-HR"/>
        </w:rPr>
        <w:t xml:space="preserve"> </w:t>
      </w:r>
      <w:r w:rsidR="007A01BB">
        <w:rPr>
          <w:rFonts w:ascii="Arial" w:hAnsi="Arial" w:cs="Arial"/>
          <w:szCs w:val="24"/>
          <w:lang w:val="hr-HR"/>
        </w:rPr>
        <w:t xml:space="preserve">u iznosu od 66.300,00 </w:t>
      </w:r>
      <w:r w:rsidR="00DB7D7F">
        <w:rPr>
          <w:rFonts w:ascii="Arial" w:hAnsi="Arial" w:cs="Arial"/>
          <w:szCs w:val="24"/>
          <w:lang w:val="hr-HR"/>
        </w:rPr>
        <w:t>e</w:t>
      </w:r>
      <w:r w:rsidR="007A01BB">
        <w:rPr>
          <w:rFonts w:ascii="Arial" w:hAnsi="Arial" w:cs="Arial"/>
          <w:szCs w:val="24"/>
          <w:lang w:val="hr-HR"/>
        </w:rPr>
        <w:t>ura za nabavu opreme na 6 godina s početkom otplate u siječnju 2025. godine.</w:t>
      </w:r>
      <w:r w:rsidR="00DB7D7F">
        <w:rPr>
          <w:rFonts w:ascii="Arial" w:hAnsi="Arial" w:cs="Arial"/>
          <w:szCs w:val="24"/>
          <w:lang w:val="hr-HR"/>
        </w:rPr>
        <w:t xml:space="preserve"> Grad istom poduzeću daje suglasnost 19.09.2024. za zaduženje u iznosu od 66.000,00 eura za nabavu opreme na 6 godina s početkom otplate u siječnju 2025. godine. </w:t>
      </w:r>
    </w:p>
    <w:p w14:paraId="2210B549" w14:textId="77777777" w:rsidR="001F583C" w:rsidRDefault="001F583C" w:rsidP="001F583C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</w:p>
    <w:p w14:paraId="522322A5" w14:textId="77777777" w:rsidR="001F583C" w:rsidRDefault="001F583C" w:rsidP="00A845B9">
      <w:pPr>
        <w:ind w:left="720"/>
        <w:jc w:val="both"/>
        <w:rPr>
          <w:rFonts w:ascii="Arial" w:hAnsi="Arial" w:cs="Arial"/>
          <w:szCs w:val="24"/>
          <w:lang w:val="hr-HR"/>
        </w:rPr>
      </w:pPr>
    </w:p>
    <w:p w14:paraId="53B030B9" w14:textId="48F19170" w:rsidR="00176FD8" w:rsidRDefault="00176FD8" w:rsidP="00176FD8">
      <w:pPr>
        <w:jc w:val="both"/>
      </w:pPr>
      <w:r>
        <w:rPr>
          <w:rFonts w:ascii="Arial" w:hAnsi="Arial" w:cs="Arial"/>
          <w:szCs w:val="24"/>
          <w:lang w:val="hr-HR"/>
        </w:rPr>
        <w:tab/>
      </w:r>
      <w:r>
        <w:t xml:space="preserve">U nastavku dajemo pregled </w:t>
      </w:r>
      <w:r w:rsidR="004C7F7F">
        <w:t xml:space="preserve">ostvarenih </w:t>
      </w:r>
      <w:r>
        <w:t xml:space="preserve">prihoda i rashoda Plana proračuna </w:t>
      </w:r>
      <w:r w:rsidR="000A5AC5">
        <w:t>za 202</w:t>
      </w:r>
      <w:r w:rsidR="00DB7D7F">
        <w:t>5</w:t>
      </w:r>
      <w:r w:rsidR="000A5AC5">
        <w:t xml:space="preserve">. godinu </w:t>
      </w:r>
      <w:r>
        <w:t>i izvršenja proračuna</w:t>
      </w:r>
      <w:r w:rsidR="00AD3557">
        <w:t xml:space="preserve"> </w:t>
      </w:r>
      <w:r>
        <w:t>Grada Donjeg</w:t>
      </w:r>
      <w:r w:rsidR="00AD3557">
        <w:t xml:space="preserve"> </w:t>
      </w:r>
      <w:r>
        <w:t xml:space="preserve">Miholjca </w:t>
      </w:r>
      <w:r w:rsidR="00FF0214">
        <w:t>za I.-</w:t>
      </w:r>
      <w:r w:rsidRPr="00FF0214">
        <w:t>VI</w:t>
      </w:r>
      <w:r w:rsidR="00DB7D7F">
        <w:t>.</w:t>
      </w:r>
      <w:r>
        <w:t>20</w:t>
      </w:r>
      <w:r w:rsidR="00D81343">
        <w:t>2</w:t>
      </w:r>
      <w:r w:rsidR="00DB7D7F">
        <w:t>5</w:t>
      </w:r>
      <w:r>
        <w:t xml:space="preserve">. </w:t>
      </w:r>
      <w:r w:rsidR="008048BB">
        <w:t>g</w:t>
      </w:r>
      <w:r>
        <w:t>odine</w:t>
      </w:r>
      <w:r w:rsidR="008048BB">
        <w:t xml:space="preserve"> na </w:t>
      </w:r>
      <w:r w:rsidR="00DB7D7F">
        <w:t>četvrtoj</w:t>
      </w:r>
      <w:r>
        <w:t xml:space="preserve"> razini</w:t>
      </w:r>
      <w:r w:rsidR="008048BB">
        <w:t xml:space="preserve"> te</w:t>
      </w:r>
      <w:r w:rsidR="008048BB" w:rsidRPr="008048BB">
        <w:t xml:space="preserve"> </w:t>
      </w:r>
      <w:r w:rsidR="008048BB">
        <w:t>grafičke preglede</w:t>
      </w:r>
      <w:r w:rsidR="00FF5091">
        <w:t>.</w:t>
      </w:r>
      <w:r>
        <w:t xml:space="preserve"> </w:t>
      </w:r>
    </w:p>
    <w:p w14:paraId="2949FC3B" w14:textId="77777777" w:rsidR="00176FD8" w:rsidRDefault="00176FD8" w:rsidP="00176FD8">
      <w:pPr>
        <w:jc w:val="both"/>
        <w:rPr>
          <w:rFonts w:ascii="Arial" w:hAnsi="Arial" w:cs="Arial"/>
          <w:szCs w:val="24"/>
          <w:lang w:val="hr-HR"/>
        </w:rPr>
      </w:pPr>
    </w:p>
    <w:p w14:paraId="1B3C3FCB" w14:textId="77777777" w:rsidR="00AD3557" w:rsidRDefault="00AD3557" w:rsidP="00176FD8">
      <w:pPr>
        <w:jc w:val="both"/>
        <w:rPr>
          <w:rFonts w:ascii="Arial" w:hAnsi="Arial" w:cs="Arial"/>
          <w:szCs w:val="24"/>
          <w:lang w:val="hr-HR"/>
        </w:rPr>
      </w:pPr>
    </w:p>
    <w:p w14:paraId="42B08243" w14:textId="77777777" w:rsidR="00AD3557" w:rsidRDefault="00AD3557" w:rsidP="00176FD8">
      <w:pPr>
        <w:jc w:val="both"/>
        <w:rPr>
          <w:rFonts w:ascii="Arial" w:hAnsi="Arial" w:cs="Arial"/>
          <w:szCs w:val="24"/>
          <w:lang w:val="hr-HR"/>
        </w:rPr>
      </w:pPr>
    </w:p>
    <w:p w14:paraId="165E20CE" w14:textId="77777777" w:rsidR="00010809" w:rsidRDefault="00176FD8" w:rsidP="00462771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</w:t>
      </w:r>
      <w:r w:rsidR="00067DAC">
        <w:rPr>
          <w:rFonts w:ascii="Arial" w:hAnsi="Arial" w:cs="Arial"/>
          <w:szCs w:val="24"/>
          <w:lang w:val="hr-HR"/>
        </w:rPr>
        <w:t xml:space="preserve">  </w:t>
      </w:r>
    </w:p>
    <w:p w14:paraId="341D293F" w14:textId="21B5A052" w:rsidR="00AD3557" w:rsidRPr="00943B93" w:rsidRDefault="00F0440D" w:rsidP="00AD3557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  <w:t xml:space="preserve">   </w:t>
      </w:r>
      <w:r w:rsidR="00AD3557">
        <w:rPr>
          <w:rFonts w:ascii="Arial" w:hAnsi="Arial" w:cs="Arial"/>
          <w:szCs w:val="24"/>
          <w:lang w:val="hr-HR"/>
        </w:rPr>
        <w:t xml:space="preserve">Odsjek za proračun </w:t>
      </w:r>
    </w:p>
    <w:p w14:paraId="5DC42862" w14:textId="7665622E" w:rsidR="00CC7EEB" w:rsidRPr="00943B93" w:rsidRDefault="00CC7EEB" w:rsidP="00462771">
      <w:pPr>
        <w:jc w:val="both"/>
        <w:rPr>
          <w:rFonts w:ascii="Arial" w:hAnsi="Arial" w:cs="Arial"/>
          <w:szCs w:val="24"/>
          <w:lang w:val="hr-HR"/>
        </w:rPr>
      </w:pPr>
    </w:p>
    <w:sectPr w:rsidR="00CC7EEB" w:rsidRPr="00943B93" w:rsidSect="00F77430">
      <w:headerReference w:type="even" r:id="rId10"/>
      <w:headerReference w:type="default" r:id="rId11"/>
      <w:pgSz w:w="11907" w:h="16840"/>
      <w:pgMar w:top="1134" w:right="170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F518" w14:textId="77777777" w:rsidR="003615B4" w:rsidRDefault="003615B4">
      <w:r>
        <w:separator/>
      </w:r>
    </w:p>
  </w:endnote>
  <w:endnote w:type="continuationSeparator" w:id="0">
    <w:p w14:paraId="11739160" w14:textId="77777777" w:rsidR="003615B4" w:rsidRDefault="003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RO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C283" w14:textId="77777777" w:rsidR="003615B4" w:rsidRDefault="003615B4">
      <w:r>
        <w:separator/>
      </w:r>
    </w:p>
  </w:footnote>
  <w:footnote w:type="continuationSeparator" w:id="0">
    <w:p w14:paraId="5C0A2419" w14:textId="77777777" w:rsidR="003615B4" w:rsidRDefault="003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64FD" w14:textId="77777777" w:rsidR="00F37E59" w:rsidRDefault="00F37E5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99F125B" w14:textId="77777777" w:rsidR="00F37E59" w:rsidRDefault="00F37E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2A7F" w14:textId="77777777" w:rsidR="00F37E59" w:rsidRDefault="00F37E5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46A023C0" w14:textId="77777777" w:rsidR="00F37E59" w:rsidRDefault="00F37E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D6D"/>
    <w:multiLevelType w:val="hybridMultilevel"/>
    <w:tmpl w:val="4E104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467A"/>
    <w:multiLevelType w:val="hybridMultilevel"/>
    <w:tmpl w:val="8AD0CEB0"/>
    <w:lvl w:ilvl="0" w:tplc="8042D9A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74D96"/>
    <w:multiLevelType w:val="hybridMultilevel"/>
    <w:tmpl w:val="714E58F0"/>
    <w:lvl w:ilvl="0" w:tplc="794244E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F675D"/>
    <w:multiLevelType w:val="hybridMultilevel"/>
    <w:tmpl w:val="44E0A8E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B40C5D"/>
    <w:multiLevelType w:val="hybridMultilevel"/>
    <w:tmpl w:val="1A1C12B8"/>
    <w:lvl w:ilvl="0" w:tplc="E3ACE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37486F"/>
    <w:multiLevelType w:val="multilevel"/>
    <w:tmpl w:val="8AD0CEB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20D5A2C"/>
    <w:multiLevelType w:val="hybridMultilevel"/>
    <w:tmpl w:val="0E4A95B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B25FFB"/>
    <w:multiLevelType w:val="hybridMultilevel"/>
    <w:tmpl w:val="D5582FBA"/>
    <w:lvl w:ilvl="0" w:tplc="794244E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0310906">
    <w:abstractNumId w:val="4"/>
  </w:num>
  <w:num w:numId="2" w16cid:durableId="396365664">
    <w:abstractNumId w:val="1"/>
  </w:num>
  <w:num w:numId="3" w16cid:durableId="1898971480">
    <w:abstractNumId w:val="7"/>
  </w:num>
  <w:num w:numId="4" w16cid:durableId="1388215412">
    <w:abstractNumId w:val="5"/>
  </w:num>
  <w:num w:numId="5" w16cid:durableId="952246773">
    <w:abstractNumId w:val="0"/>
  </w:num>
  <w:num w:numId="6" w16cid:durableId="990862842">
    <w:abstractNumId w:val="6"/>
  </w:num>
  <w:num w:numId="7" w16cid:durableId="1115714276">
    <w:abstractNumId w:val="3"/>
  </w:num>
  <w:num w:numId="8" w16cid:durableId="33858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44"/>
    <w:rsid w:val="00002A7A"/>
    <w:rsid w:val="00004C1E"/>
    <w:rsid w:val="00005730"/>
    <w:rsid w:val="00010809"/>
    <w:rsid w:val="00010E81"/>
    <w:rsid w:val="00011E2A"/>
    <w:rsid w:val="000147EB"/>
    <w:rsid w:val="000204D4"/>
    <w:rsid w:val="00020F60"/>
    <w:rsid w:val="00022DBC"/>
    <w:rsid w:val="00023B29"/>
    <w:rsid w:val="00025E1C"/>
    <w:rsid w:val="00033518"/>
    <w:rsid w:val="00033CBE"/>
    <w:rsid w:val="00034BF9"/>
    <w:rsid w:val="00040D29"/>
    <w:rsid w:val="00043890"/>
    <w:rsid w:val="000460B5"/>
    <w:rsid w:val="00050750"/>
    <w:rsid w:val="00050CD7"/>
    <w:rsid w:val="00053AD7"/>
    <w:rsid w:val="00056B00"/>
    <w:rsid w:val="00057AD8"/>
    <w:rsid w:val="00057C78"/>
    <w:rsid w:val="000631AF"/>
    <w:rsid w:val="00064A4C"/>
    <w:rsid w:val="00067DAC"/>
    <w:rsid w:val="000743B6"/>
    <w:rsid w:val="00074AFE"/>
    <w:rsid w:val="00083939"/>
    <w:rsid w:val="00085D10"/>
    <w:rsid w:val="000873A7"/>
    <w:rsid w:val="000873F5"/>
    <w:rsid w:val="00090F83"/>
    <w:rsid w:val="00092F70"/>
    <w:rsid w:val="00094B05"/>
    <w:rsid w:val="00095102"/>
    <w:rsid w:val="00095A51"/>
    <w:rsid w:val="0009628B"/>
    <w:rsid w:val="000A06FC"/>
    <w:rsid w:val="000A2488"/>
    <w:rsid w:val="000A5AC5"/>
    <w:rsid w:val="000A65B3"/>
    <w:rsid w:val="000B0A8C"/>
    <w:rsid w:val="000B0EFB"/>
    <w:rsid w:val="000B38D7"/>
    <w:rsid w:val="000B3B07"/>
    <w:rsid w:val="000B637F"/>
    <w:rsid w:val="000B7B19"/>
    <w:rsid w:val="000C12DD"/>
    <w:rsid w:val="000E1CDB"/>
    <w:rsid w:val="000E271D"/>
    <w:rsid w:val="000E32B5"/>
    <w:rsid w:val="000E3A4F"/>
    <w:rsid w:val="000E49D8"/>
    <w:rsid w:val="000E55B0"/>
    <w:rsid w:val="000E5675"/>
    <w:rsid w:val="000E5CF1"/>
    <w:rsid w:val="000E68F1"/>
    <w:rsid w:val="000E79C0"/>
    <w:rsid w:val="000F1646"/>
    <w:rsid w:val="000F2C44"/>
    <w:rsid w:val="000F361E"/>
    <w:rsid w:val="000F5272"/>
    <w:rsid w:val="00100F94"/>
    <w:rsid w:val="0010500A"/>
    <w:rsid w:val="001136B1"/>
    <w:rsid w:val="00115754"/>
    <w:rsid w:val="00117D17"/>
    <w:rsid w:val="00121ABC"/>
    <w:rsid w:val="00123710"/>
    <w:rsid w:val="00123EA2"/>
    <w:rsid w:val="001249F0"/>
    <w:rsid w:val="00124ED7"/>
    <w:rsid w:val="00125970"/>
    <w:rsid w:val="0012647F"/>
    <w:rsid w:val="00131873"/>
    <w:rsid w:val="001330DA"/>
    <w:rsid w:val="00140393"/>
    <w:rsid w:val="001425AE"/>
    <w:rsid w:val="00150AE6"/>
    <w:rsid w:val="00153AB5"/>
    <w:rsid w:val="0015577E"/>
    <w:rsid w:val="00160B8D"/>
    <w:rsid w:val="001614A7"/>
    <w:rsid w:val="0016256C"/>
    <w:rsid w:val="00164733"/>
    <w:rsid w:val="0017084F"/>
    <w:rsid w:val="0017194B"/>
    <w:rsid w:val="00173EFF"/>
    <w:rsid w:val="00176FD8"/>
    <w:rsid w:val="001801CD"/>
    <w:rsid w:val="00180559"/>
    <w:rsid w:val="00184338"/>
    <w:rsid w:val="00184CE7"/>
    <w:rsid w:val="0018538E"/>
    <w:rsid w:val="00194CA2"/>
    <w:rsid w:val="0019530F"/>
    <w:rsid w:val="00197B56"/>
    <w:rsid w:val="001A1E49"/>
    <w:rsid w:val="001A32E5"/>
    <w:rsid w:val="001A5778"/>
    <w:rsid w:val="001B0D24"/>
    <w:rsid w:val="001B1624"/>
    <w:rsid w:val="001B3046"/>
    <w:rsid w:val="001B47E0"/>
    <w:rsid w:val="001B649D"/>
    <w:rsid w:val="001B678B"/>
    <w:rsid w:val="001C01BD"/>
    <w:rsid w:val="001C36DB"/>
    <w:rsid w:val="001D59DD"/>
    <w:rsid w:val="001E35ED"/>
    <w:rsid w:val="001E5016"/>
    <w:rsid w:val="001F583C"/>
    <w:rsid w:val="001F7029"/>
    <w:rsid w:val="001F7D26"/>
    <w:rsid w:val="00200C28"/>
    <w:rsid w:val="00201F5B"/>
    <w:rsid w:val="00206EF8"/>
    <w:rsid w:val="0021126D"/>
    <w:rsid w:val="00212E68"/>
    <w:rsid w:val="0021311B"/>
    <w:rsid w:val="002169EE"/>
    <w:rsid w:val="00225970"/>
    <w:rsid w:val="002317AE"/>
    <w:rsid w:val="00237ABE"/>
    <w:rsid w:val="00240192"/>
    <w:rsid w:val="002522D0"/>
    <w:rsid w:val="002574A0"/>
    <w:rsid w:val="00262470"/>
    <w:rsid w:val="00264B58"/>
    <w:rsid w:val="0026766B"/>
    <w:rsid w:val="00267C03"/>
    <w:rsid w:val="00275BE8"/>
    <w:rsid w:val="00276C6A"/>
    <w:rsid w:val="00290115"/>
    <w:rsid w:val="002905AD"/>
    <w:rsid w:val="0029280C"/>
    <w:rsid w:val="00294905"/>
    <w:rsid w:val="002963ED"/>
    <w:rsid w:val="002A0C38"/>
    <w:rsid w:val="002A59E4"/>
    <w:rsid w:val="002B12E4"/>
    <w:rsid w:val="002B6FD4"/>
    <w:rsid w:val="002C0F04"/>
    <w:rsid w:val="002C2B0A"/>
    <w:rsid w:val="002C3525"/>
    <w:rsid w:val="002C4850"/>
    <w:rsid w:val="002D16B2"/>
    <w:rsid w:val="002D56F5"/>
    <w:rsid w:val="002D5FCD"/>
    <w:rsid w:val="002E3CF8"/>
    <w:rsid w:val="002E4BE7"/>
    <w:rsid w:val="002F0B1A"/>
    <w:rsid w:val="002F3C6B"/>
    <w:rsid w:val="002F4B80"/>
    <w:rsid w:val="002F4D08"/>
    <w:rsid w:val="00301428"/>
    <w:rsid w:val="00301B31"/>
    <w:rsid w:val="003050FE"/>
    <w:rsid w:val="00307222"/>
    <w:rsid w:val="0031144D"/>
    <w:rsid w:val="0031478A"/>
    <w:rsid w:val="003158CB"/>
    <w:rsid w:val="00317774"/>
    <w:rsid w:val="00321492"/>
    <w:rsid w:val="0032275A"/>
    <w:rsid w:val="003231CC"/>
    <w:rsid w:val="003267B6"/>
    <w:rsid w:val="00326AE6"/>
    <w:rsid w:val="00334642"/>
    <w:rsid w:val="003416AC"/>
    <w:rsid w:val="00343E96"/>
    <w:rsid w:val="00345176"/>
    <w:rsid w:val="003451CB"/>
    <w:rsid w:val="00346B41"/>
    <w:rsid w:val="0034793D"/>
    <w:rsid w:val="003507F5"/>
    <w:rsid w:val="00351293"/>
    <w:rsid w:val="00351D2A"/>
    <w:rsid w:val="00357915"/>
    <w:rsid w:val="003615B4"/>
    <w:rsid w:val="00363B8E"/>
    <w:rsid w:val="00364701"/>
    <w:rsid w:val="00375424"/>
    <w:rsid w:val="00376B51"/>
    <w:rsid w:val="003849A2"/>
    <w:rsid w:val="00385E44"/>
    <w:rsid w:val="00390B75"/>
    <w:rsid w:val="00393E4C"/>
    <w:rsid w:val="00394398"/>
    <w:rsid w:val="003962C3"/>
    <w:rsid w:val="003A32E9"/>
    <w:rsid w:val="003A3A42"/>
    <w:rsid w:val="003B0443"/>
    <w:rsid w:val="003B1145"/>
    <w:rsid w:val="003B123A"/>
    <w:rsid w:val="003B125E"/>
    <w:rsid w:val="003B2908"/>
    <w:rsid w:val="003B5FA0"/>
    <w:rsid w:val="003B7F2D"/>
    <w:rsid w:val="003C7031"/>
    <w:rsid w:val="003D0D6F"/>
    <w:rsid w:val="003D1E25"/>
    <w:rsid w:val="003E1619"/>
    <w:rsid w:val="003E2DBC"/>
    <w:rsid w:val="003E44AA"/>
    <w:rsid w:val="003E457A"/>
    <w:rsid w:val="003E55E5"/>
    <w:rsid w:val="003E59D2"/>
    <w:rsid w:val="003E64DC"/>
    <w:rsid w:val="003F6DAF"/>
    <w:rsid w:val="003F749F"/>
    <w:rsid w:val="003F75B0"/>
    <w:rsid w:val="00400CBF"/>
    <w:rsid w:val="00402165"/>
    <w:rsid w:val="00402577"/>
    <w:rsid w:val="004059FA"/>
    <w:rsid w:val="00405AC7"/>
    <w:rsid w:val="00406980"/>
    <w:rsid w:val="00410807"/>
    <w:rsid w:val="004126E3"/>
    <w:rsid w:val="00415659"/>
    <w:rsid w:val="00420534"/>
    <w:rsid w:val="00421C48"/>
    <w:rsid w:val="0042281F"/>
    <w:rsid w:val="004255C1"/>
    <w:rsid w:val="004264FF"/>
    <w:rsid w:val="00435333"/>
    <w:rsid w:val="00435965"/>
    <w:rsid w:val="00436FFF"/>
    <w:rsid w:val="00437A6C"/>
    <w:rsid w:val="004400AC"/>
    <w:rsid w:val="004413B3"/>
    <w:rsid w:val="00441A66"/>
    <w:rsid w:val="0044319D"/>
    <w:rsid w:val="004454BB"/>
    <w:rsid w:val="004457AD"/>
    <w:rsid w:val="00451BB5"/>
    <w:rsid w:val="00452B0F"/>
    <w:rsid w:val="004611B8"/>
    <w:rsid w:val="004618F2"/>
    <w:rsid w:val="00462771"/>
    <w:rsid w:val="004638BF"/>
    <w:rsid w:val="00466BD2"/>
    <w:rsid w:val="00470CE0"/>
    <w:rsid w:val="00474F7E"/>
    <w:rsid w:val="0048500A"/>
    <w:rsid w:val="0049021B"/>
    <w:rsid w:val="00492BC8"/>
    <w:rsid w:val="00497FCD"/>
    <w:rsid w:val="004A0549"/>
    <w:rsid w:val="004A1E26"/>
    <w:rsid w:val="004A1E9F"/>
    <w:rsid w:val="004A2B42"/>
    <w:rsid w:val="004A6468"/>
    <w:rsid w:val="004B17B4"/>
    <w:rsid w:val="004B7F67"/>
    <w:rsid w:val="004C15D1"/>
    <w:rsid w:val="004C7F7F"/>
    <w:rsid w:val="004D1242"/>
    <w:rsid w:val="004D1B86"/>
    <w:rsid w:val="004D2375"/>
    <w:rsid w:val="004E1302"/>
    <w:rsid w:val="004E240C"/>
    <w:rsid w:val="004E414B"/>
    <w:rsid w:val="004E6D6E"/>
    <w:rsid w:val="004F3F83"/>
    <w:rsid w:val="004F4841"/>
    <w:rsid w:val="004F57EC"/>
    <w:rsid w:val="004F5B42"/>
    <w:rsid w:val="004F683E"/>
    <w:rsid w:val="004F7490"/>
    <w:rsid w:val="00510EE3"/>
    <w:rsid w:val="00514076"/>
    <w:rsid w:val="005152A5"/>
    <w:rsid w:val="00515C06"/>
    <w:rsid w:val="00524C8F"/>
    <w:rsid w:val="00525BD6"/>
    <w:rsid w:val="0052745E"/>
    <w:rsid w:val="00527D62"/>
    <w:rsid w:val="00531491"/>
    <w:rsid w:val="005356BD"/>
    <w:rsid w:val="00540A13"/>
    <w:rsid w:val="00544370"/>
    <w:rsid w:val="00544702"/>
    <w:rsid w:val="005458E9"/>
    <w:rsid w:val="00547CB0"/>
    <w:rsid w:val="0055178D"/>
    <w:rsid w:val="00553308"/>
    <w:rsid w:val="00555340"/>
    <w:rsid w:val="00562AFE"/>
    <w:rsid w:val="00564D66"/>
    <w:rsid w:val="00565933"/>
    <w:rsid w:val="005678FD"/>
    <w:rsid w:val="005735CF"/>
    <w:rsid w:val="0057380B"/>
    <w:rsid w:val="00573B16"/>
    <w:rsid w:val="00574F55"/>
    <w:rsid w:val="005812BA"/>
    <w:rsid w:val="00583A91"/>
    <w:rsid w:val="0058660A"/>
    <w:rsid w:val="00591086"/>
    <w:rsid w:val="00593E70"/>
    <w:rsid w:val="00595A51"/>
    <w:rsid w:val="0059623C"/>
    <w:rsid w:val="0059696E"/>
    <w:rsid w:val="005A05CD"/>
    <w:rsid w:val="005A1700"/>
    <w:rsid w:val="005A1E7D"/>
    <w:rsid w:val="005B0696"/>
    <w:rsid w:val="005B18EC"/>
    <w:rsid w:val="005B36ED"/>
    <w:rsid w:val="005B7003"/>
    <w:rsid w:val="005C04B3"/>
    <w:rsid w:val="005C3A3E"/>
    <w:rsid w:val="005C41E4"/>
    <w:rsid w:val="005C7A0C"/>
    <w:rsid w:val="005D0A97"/>
    <w:rsid w:val="005F7496"/>
    <w:rsid w:val="005F792B"/>
    <w:rsid w:val="00600778"/>
    <w:rsid w:val="00601B3E"/>
    <w:rsid w:val="0060295A"/>
    <w:rsid w:val="00603A21"/>
    <w:rsid w:val="006048B6"/>
    <w:rsid w:val="00605878"/>
    <w:rsid w:val="00611117"/>
    <w:rsid w:val="00612721"/>
    <w:rsid w:val="00612753"/>
    <w:rsid w:val="00612F72"/>
    <w:rsid w:val="00617682"/>
    <w:rsid w:val="00625576"/>
    <w:rsid w:val="00625F81"/>
    <w:rsid w:val="0062679D"/>
    <w:rsid w:val="0062711B"/>
    <w:rsid w:val="006306EC"/>
    <w:rsid w:val="00630F4E"/>
    <w:rsid w:val="00632B3F"/>
    <w:rsid w:val="00633EF1"/>
    <w:rsid w:val="0063466B"/>
    <w:rsid w:val="00640968"/>
    <w:rsid w:val="00643657"/>
    <w:rsid w:val="006467B2"/>
    <w:rsid w:val="006655DB"/>
    <w:rsid w:val="006734EA"/>
    <w:rsid w:val="00673CD7"/>
    <w:rsid w:val="006750F1"/>
    <w:rsid w:val="00676B19"/>
    <w:rsid w:val="0068792C"/>
    <w:rsid w:val="00690D17"/>
    <w:rsid w:val="00697953"/>
    <w:rsid w:val="006A036E"/>
    <w:rsid w:val="006A217C"/>
    <w:rsid w:val="006A2F7E"/>
    <w:rsid w:val="006A3F13"/>
    <w:rsid w:val="006A41D3"/>
    <w:rsid w:val="006A4A49"/>
    <w:rsid w:val="006A5004"/>
    <w:rsid w:val="006B03F3"/>
    <w:rsid w:val="006B0EE9"/>
    <w:rsid w:val="006B2A76"/>
    <w:rsid w:val="006B66DB"/>
    <w:rsid w:val="006C23CC"/>
    <w:rsid w:val="006C52FD"/>
    <w:rsid w:val="006C5939"/>
    <w:rsid w:val="006D4CE1"/>
    <w:rsid w:val="006D576E"/>
    <w:rsid w:val="006D605E"/>
    <w:rsid w:val="006D7870"/>
    <w:rsid w:val="006D7920"/>
    <w:rsid w:val="006E2DDC"/>
    <w:rsid w:val="006E2FA1"/>
    <w:rsid w:val="006E4591"/>
    <w:rsid w:val="006E6E05"/>
    <w:rsid w:val="006F5911"/>
    <w:rsid w:val="006F65D7"/>
    <w:rsid w:val="007063BD"/>
    <w:rsid w:val="00706D6A"/>
    <w:rsid w:val="0071130F"/>
    <w:rsid w:val="007117CF"/>
    <w:rsid w:val="00712994"/>
    <w:rsid w:val="007156A5"/>
    <w:rsid w:val="00715BE5"/>
    <w:rsid w:val="0072361C"/>
    <w:rsid w:val="007361A7"/>
    <w:rsid w:val="00737F79"/>
    <w:rsid w:val="007402EE"/>
    <w:rsid w:val="00747B4F"/>
    <w:rsid w:val="007519F3"/>
    <w:rsid w:val="00753E82"/>
    <w:rsid w:val="00754CD1"/>
    <w:rsid w:val="007603A8"/>
    <w:rsid w:val="00762435"/>
    <w:rsid w:val="007660DA"/>
    <w:rsid w:val="00767C4D"/>
    <w:rsid w:val="00774543"/>
    <w:rsid w:val="007814BF"/>
    <w:rsid w:val="00782076"/>
    <w:rsid w:val="007847DD"/>
    <w:rsid w:val="00784C98"/>
    <w:rsid w:val="0078580E"/>
    <w:rsid w:val="00792A1A"/>
    <w:rsid w:val="0079601D"/>
    <w:rsid w:val="007960D7"/>
    <w:rsid w:val="007A01BB"/>
    <w:rsid w:val="007A2793"/>
    <w:rsid w:val="007A6F15"/>
    <w:rsid w:val="007B1791"/>
    <w:rsid w:val="007B2502"/>
    <w:rsid w:val="007B61CE"/>
    <w:rsid w:val="007C2708"/>
    <w:rsid w:val="007D010C"/>
    <w:rsid w:val="007D4C04"/>
    <w:rsid w:val="007E2801"/>
    <w:rsid w:val="007E3F9D"/>
    <w:rsid w:val="007E7F06"/>
    <w:rsid w:val="007F4FDB"/>
    <w:rsid w:val="007F62B8"/>
    <w:rsid w:val="008016B3"/>
    <w:rsid w:val="0080265F"/>
    <w:rsid w:val="008029FF"/>
    <w:rsid w:val="00802EC3"/>
    <w:rsid w:val="00802FB9"/>
    <w:rsid w:val="00804204"/>
    <w:rsid w:val="008048BB"/>
    <w:rsid w:val="008178E8"/>
    <w:rsid w:val="00822128"/>
    <w:rsid w:val="008229A1"/>
    <w:rsid w:val="008248FD"/>
    <w:rsid w:val="00832D45"/>
    <w:rsid w:val="008331EE"/>
    <w:rsid w:val="008353A7"/>
    <w:rsid w:val="00836218"/>
    <w:rsid w:val="00836C65"/>
    <w:rsid w:val="00837F8D"/>
    <w:rsid w:val="008439F9"/>
    <w:rsid w:val="00844BAE"/>
    <w:rsid w:val="00846DBD"/>
    <w:rsid w:val="00850DE9"/>
    <w:rsid w:val="008555A3"/>
    <w:rsid w:val="008613FD"/>
    <w:rsid w:val="0086380C"/>
    <w:rsid w:val="00865BC1"/>
    <w:rsid w:val="00865CF6"/>
    <w:rsid w:val="008679CD"/>
    <w:rsid w:val="00871253"/>
    <w:rsid w:val="00872B4B"/>
    <w:rsid w:val="00876655"/>
    <w:rsid w:val="00876BAE"/>
    <w:rsid w:val="00894E11"/>
    <w:rsid w:val="008A069D"/>
    <w:rsid w:val="008A1790"/>
    <w:rsid w:val="008A1B52"/>
    <w:rsid w:val="008A3BBE"/>
    <w:rsid w:val="008A4E75"/>
    <w:rsid w:val="008A5323"/>
    <w:rsid w:val="008A5F1F"/>
    <w:rsid w:val="008B1A65"/>
    <w:rsid w:val="008B592D"/>
    <w:rsid w:val="008B6D32"/>
    <w:rsid w:val="008C1428"/>
    <w:rsid w:val="008C1E85"/>
    <w:rsid w:val="008C5C32"/>
    <w:rsid w:val="008D17CA"/>
    <w:rsid w:val="008D69CF"/>
    <w:rsid w:val="008E416C"/>
    <w:rsid w:val="008E4DB5"/>
    <w:rsid w:val="008F0C9B"/>
    <w:rsid w:val="008F6DD1"/>
    <w:rsid w:val="00901656"/>
    <w:rsid w:val="0091025F"/>
    <w:rsid w:val="009113DD"/>
    <w:rsid w:val="00913EAA"/>
    <w:rsid w:val="009246C2"/>
    <w:rsid w:val="00927AA2"/>
    <w:rsid w:val="009322C1"/>
    <w:rsid w:val="00932CFC"/>
    <w:rsid w:val="009332C8"/>
    <w:rsid w:val="00935EA6"/>
    <w:rsid w:val="009421A4"/>
    <w:rsid w:val="009428D9"/>
    <w:rsid w:val="00943B93"/>
    <w:rsid w:val="009517BE"/>
    <w:rsid w:val="00954D18"/>
    <w:rsid w:val="00962ADA"/>
    <w:rsid w:val="00963EB7"/>
    <w:rsid w:val="00966752"/>
    <w:rsid w:val="009667A4"/>
    <w:rsid w:val="00974C5B"/>
    <w:rsid w:val="00975374"/>
    <w:rsid w:val="0097609E"/>
    <w:rsid w:val="00977860"/>
    <w:rsid w:val="00980CDF"/>
    <w:rsid w:val="00984B77"/>
    <w:rsid w:val="00985D53"/>
    <w:rsid w:val="0099146C"/>
    <w:rsid w:val="00993B91"/>
    <w:rsid w:val="0099549C"/>
    <w:rsid w:val="009A51B1"/>
    <w:rsid w:val="009A520E"/>
    <w:rsid w:val="009A527C"/>
    <w:rsid w:val="009A690E"/>
    <w:rsid w:val="009A7322"/>
    <w:rsid w:val="009B647E"/>
    <w:rsid w:val="009B7A44"/>
    <w:rsid w:val="009C09DD"/>
    <w:rsid w:val="009C1120"/>
    <w:rsid w:val="009C46A6"/>
    <w:rsid w:val="009C7831"/>
    <w:rsid w:val="009D5124"/>
    <w:rsid w:val="009D59B3"/>
    <w:rsid w:val="009E2145"/>
    <w:rsid w:val="009E593A"/>
    <w:rsid w:val="009F0BAD"/>
    <w:rsid w:val="009F0FB8"/>
    <w:rsid w:val="009F1E2C"/>
    <w:rsid w:val="009F240A"/>
    <w:rsid w:val="009F2591"/>
    <w:rsid w:val="009F33D1"/>
    <w:rsid w:val="009F5ACD"/>
    <w:rsid w:val="00A05159"/>
    <w:rsid w:val="00A1047E"/>
    <w:rsid w:val="00A12683"/>
    <w:rsid w:val="00A142FA"/>
    <w:rsid w:val="00A24F86"/>
    <w:rsid w:val="00A27716"/>
    <w:rsid w:val="00A323E6"/>
    <w:rsid w:val="00A33393"/>
    <w:rsid w:val="00A33A03"/>
    <w:rsid w:val="00A34FF3"/>
    <w:rsid w:val="00A42DB0"/>
    <w:rsid w:val="00A44B32"/>
    <w:rsid w:val="00A52CDE"/>
    <w:rsid w:val="00A608B0"/>
    <w:rsid w:val="00A64C9B"/>
    <w:rsid w:val="00A6743B"/>
    <w:rsid w:val="00A7012B"/>
    <w:rsid w:val="00A7162D"/>
    <w:rsid w:val="00A71AFD"/>
    <w:rsid w:val="00A73DCD"/>
    <w:rsid w:val="00A76543"/>
    <w:rsid w:val="00A845B9"/>
    <w:rsid w:val="00A854FF"/>
    <w:rsid w:val="00A85882"/>
    <w:rsid w:val="00A879C9"/>
    <w:rsid w:val="00A87CAA"/>
    <w:rsid w:val="00A87FDA"/>
    <w:rsid w:val="00A96673"/>
    <w:rsid w:val="00AA030E"/>
    <w:rsid w:val="00AA3E7A"/>
    <w:rsid w:val="00AA4CCD"/>
    <w:rsid w:val="00AB0B8E"/>
    <w:rsid w:val="00AB4234"/>
    <w:rsid w:val="00AB739A"/>
    <w:rsid w:val="00AB7DB8"/>
    <w:rsid w:val="00AC42B9"/>
    <w:rsid w:val="00AC6332"/>
    <w:rsid w:val="00AC70E8"/>
    <w:rsid w:val="00AD01C3"/>
    <w:rsid w:val="00AD09F6"/>
    <w:rsid w:val="00AD21AF"/>
    <w:rsid w:val="00AD3557"/>
    <w:rsid w:val="00AD4CA2"/>
    <w:rsid w:val="00AD5842"/>
    <w:rsid w:val="00AD6250"/>
    <w:rsid w:val="00AD6295"/>
    <w:rsid w:val="00AE105F"/>
    <w:rsid w:val="00AE3002"/>
    <w:rsid w:val="00AF3D72"/>
    <w:rsid w:val="00AF626C"/>
    <w:rsid w:val="00B01EB8"/>
    <w:rsid w:val="00B034A3"/>
    <w:rsid w:val="00B03FA3"/>
    <w:rsid w:val="00B0507E"/>
    <w:rsid w:val="00B056B8"/>
    <w:rsid w:val="00B06FEE"/>
    <w:rsid w:val="00B12B95"/>
    <w:rsid w:val="00B14E41"/>
    <w:rsid w:val="00B31718"/>
    <w:rsid w:val="00B323E6"/>
    <w:rsid w:val="00B32DDB"/>
    <w:rsid w:val="00B33132"/>
    <w:rsid w:val="00B34A8A"/>
    <w:rsid w:val="00B3743F"/>
    <w:rsid w:val="00B46DA9"/>
    <w:rsid w:val="00B46F64"/>
    <w:rsid w:val="00B521DF"/>
    <w:rsid w:val="00B5731B"/>
    <w:rsid w:val="00B709F5"/>
    <w:rsid w:val="00B77E70"/>
    <w:rsid w:val="00B800CA"/>
    <w:rsid w:val="00B80536"/>
    <w:rsid w:val="00B808DD"/>
    <w:rsid w:val="00B81187"/>
    <w:rsid w:val="00B8340A"/>
    <w:rsid w:val="00B83446"/>
    <w:rsid w:val="00B906DC"/>
    <w:rsid w:val="00B91CD3"/>
    <w:rsid w:val="00B93724"/>
    <w:rsid w:val="00B93F7B"/>
    <w:rsid w:val="00B962CC"/>
    <w:rsid w:val="00BA068A"/>
    <w:rsid w:val="00BA73B9"/>
    <w:rsid w:val="00BB0B25"/>
    <w:rsid w:val="00BB3153"/>
    <w:rsid w:val="00BB6B54"/>
    <w:rsid w:val="00BC0246"/>
    <w:rsid w:val="00BC19A9"/>
    <w:rsid w:val="00BC33D0"/>
    <w:rsid w:val="00BC52BA"/>
    <w:rsid w:val="00BC5A50"/>
    <w:rsid w:val="00BC6734"/>
    <w:rsid w:val="00BC786D"/>
    <w:rsid w:val="00BC7DFD"/>
    <w:rsid w:val="00BD28F0"/>
    <w:rsid w:val="00BD29B0"/>
    <w:rsid w:val="00BD5DB1"/>
    <w:rsid w:val="00BD659D"/>
    <w:rsid w:val="00BE0E27"/>
    <w:rsid w:val="00BE1664"/>
    <w:rsid w:val="00BE1B91"/>
    <w:rsid w:val="00BE1DB2"/>
    <w:rsid w:val="00BE4DFB"/>
    <w:rsid w:val="00BE6163"/>
    <w:rsid w:val="00BE6D27"/>
    <w:rsid w:val="00BE7E7A"/>
    <w:rsid w:val="00BF75B3"/>
    <w:rsid w:val="00BF7AFA"/>
    <w:rsid w:val="00BF7D09"/>
    <w:rsid w:val="00C03486"/>
    <w:rsid w:val="00C040E6"/>
    <w:rsid w:val="00C05588"/>
    <w:rsid w:val="00C0581E"/>
    <w:rsid w:val="00C105FB"/>
    <w:rsid w:val="00C17DF4"/>
    <w:rsid w:val="00C20AF2"/>
    <w:rsid w:val="00C22FA8"/>
    <w:rsid w:val="00C23976"/>
    <w:rsid w:val="00C240C2"/>
    <w:rsid w:val="00C26944"/>
    <w:rsid w:val="00C3258D"/>
    <w:rsid w:val="00C36BC7"/>
    <w:rsid w:val="00C36E93"/>
    <w:rsid w:val="00C41A90"/>
    <w:rsid w:val="00C42250"/>
    <w:rsid w:val="00C4302E"/>
    <w:rsid w:val="00C43E6A"/>
    <w:rsid w:val="00C457A6"/>
    <w:rsid w:val="00C45B46"/>
    <w:rsid w:val="00C527BA"/>
    <w:rsid w:val="00C5512C"/>
    <w:rsid w:val="00C64C1D"/>
    <w:rsid w:val="00C722C7"/>
    <w:rsid w:val="00C8095C"/>
    <w:rsid w:val="00C818F7"/>
    <w:rsid w:val="00C82194"/>
    <w:rsid w:val="00C839C7"/>
    <w:rsid w:val="00C84133"/>
    <w:rsid w:val="00C84416"/>
    <w:rsid w:val="00C861D0"/>
    <w:rsid w:val="00C900DE"/>
    <w:rsid w:val="00C93400"/>
    <w:rsid w:val="00C97D09"/>
    <w:rsid w:val="00CA41CD"/>
    <w:rsid w:val="00CA5C7E"/>
    <w:rsid w:val="00CB6624"/>
    <w:rsid w:val="00CB7A0E"/>
    <w:rsid w:val="00CC14C9"/>
    <w:rsid w:val="00CC18C8"/>
    <w:rsid w:val="00CC5265"/>
    <w:rsid w:val="00CC6BF4"/>
    <w:rsid w:val="00CC7EEB"/>
    <w:rsid w:val="00CD33F9"/>
    <w:rsid w:val="00CD4060"/>
    <w:rsid w:val="00CE02F2"/>
    <w:rsid w:val="00CE10EE"/>
    <w:rsid w:val="00CE3B6D"/>
    <w:rsid w:val="00CE6BA9"/>
    <w:rsid w:val="00CE7548"/>
    <w:rsid w:val="00CF03E8"/>
    <w:rsid w:val="00CF1DDC"/>
    <w:rsid w:val="00CF4924"/>
    <w:rsid w:val="00D11BBC"/>
    <w:rsid w:val="00D13BE0"/>
    <w:rsid w:val="00D150D2"/>
    <w:rsid w:val="00D23A8B"/>
    <w:rsid w:val="00D25264"/>
    <w:rsid w:val="00D2623C"/>
    <w:rsid w:val="00D26634"/>
    <w:rsid w:val="00D2779F"/>
    <w:rsid w:val="00D30E10"/>
    <w:rsid w:val="00D354EA"/>
    <w:rsid w:val="00D3636F"/>
    <w:rsid w:val="00D41110"/>
    <w:rsid w:val="00D4295D"/>
    <w:rsid w:val="00D43962"/>
    <w:rsid w:val="00D43A1E"/>
    <w:rsid w:val="00D441E0"/>
    <w:rsid w:val="00D4462E"/>
    <w:rsid w:val="00D507C6"/>
    <w:rsid w:val="00D5215C"/>
    <w:rsid w:val="00D609C1"/>
    <w:rsid w:val="00D61CEA"/>
    <w:rsid w:val="00D67693"/>
    <w:rsid w:val="00D6769C"/>
    <w:rsid w:val="00D71C7A"/>
    <w:rsid w:val="00D74E4C"/>
    <w:rsid w:val="00D80D39"/>
    <w:rsid w:val="00D81053"/>
    <w:rsid w:val="00D81343"/>
    <w:rsid w:val="00D81BFE"/>
    <w:rsid w:val="00D82738"/>
    <w:rsid w:val="00D83006"/>
    <w:rsid w:val="00D8512A"/>
    <w:rsid w:val="00D85712"/>
    <w:rsid w:val="00D86221"/>
    <w:rsid w:val="00D866E4"/>
    <w:rsid w:val="00D9011E"/>
    <w:rsid w:val="00D90CC5"/>
    <w:rsid w:val="00D91C0E"/>
    <w:rsid w:val="00D95142"/>
    <w:rsid w:val="00D959DA"/>
    <w:rsid w:val="00DA1057"/>
    <w:rsid w:val="00DA15FA"/>
    <w:rsid w:val="00DA21CC"/>
    <w:rsid w:val="00DA599D"/>
    <w:rsid w:val="00DA719C"/>
    <w:rsid w:val="00DB0B42"/>
    <w:rsid w:val="00DB2881"/>
    <w:rsid w:val="00DB6230"/>
    <w:rsid w:val="00DB6B0F"/>
    <w:rsid w:val="00DB7D7F"/>
    <w:rsid w:val="00DC367A"/>
    <w:rsid w:val="00DC424D"/>
    <w:rsid w:val="00DC52B4"/>
    <w:rsid w:val="00DC627C"/>
    <w:rsid w:val="00DC7281"/>
    <w:rsid w:val="00DD0D0D"/>
    <w:rsid w:val="00DD2919"/>
    <w:rsid w:val="00DD5942"/>
    <w:rsid w:val="00DD5B01"/>
    <w:rsid w:val="00DD5B86"/>
    <w:rsid w:val="00DD5EBE"/>
    <w:rsid w:val="00DD6561"/>
    <w:rsid w:val="00DE02D2"/>
    <w:rsid w:val="00DE1BA5"/>
    <w:rsid w:val="00DE2B15"/>
    <w:rsid w:val="00DE3152"/>
    <w:rsid w:val="00DE3E0F"/>
    <w:rsid w:val="00DE5549"/>
    <w:rsid w:val="00DE580A"/>
    <w:rsid w:val="00DE5E56"/>
    <w:rsid w:val="00DE73B0"/>
    <w:rsid w:val="00DE7EDB"/>
    <w:rsid w:val="00DF0590"/>
    <w:rsid w:val="00DF184F"/>
    <w:rsid w:val="00DF2CCD"/>
    <w:rsid w:val="00DF50C6"/>
    <w:rsid w:val="00DF5271"/>
    <w:rsid w:val="00E001A2"/>
    <w:rsid w:val="00E01CC5"/>
    <w:rsid w:val="00E0395A"/>
    <w:rsid w:val="00E11C30"/>
    <w:rsid w:val="00E127AA"/>
    <w:rsid w:val="00E146A5"/>
    <w:rsid w:val="00E21377"/>
    <w:rsid w:val="00E231BF"/>
    <w:rsid w:val="00E24AFD"/>
    <w:rsid w:val="00E3017C"/>
    <w:rsid w:val="00E317D0"/>
    <w:rsid w:val="00E33B78"/>
    <w:rsid w:val="00E3478D"/>
    <w:rsid w:val="00E348B0"/>
    <w:rsid w:val="00E36F66"/>
    <w:rsid w:val="00E37307"/>
    <w:rsid w:val="00E43BD2"/>
    <w:rsid w:val="00E451BA"/>
    <w:rsid w:val="00E454E7"/>
    <w:rsid w:val="00E53BE9"/>
    <w:rsid w:val="00E53DF3"/>
    <w:rsid w:val="00E55308"/>
    <w:rsid w:val="00E6275C"/>
    <w:rsid w:val="00E62C95"/>
    <w:rsid w:val="00E63BB8"/>
    <w:rsid w:val="00E63C55"/>
    <w:rsid w:val="00E64E95"/>
    <w:rsid w:val="00E71766"/>
    <w:rsid w:val="00E72EBB"/>
    <w:rsid w:val="00E75649"/>
    <w:rsid w:val="00E772D0"/>
    <w:rsid w:val="00E8207A"/>
    <w:rsid w:val="00E911BD"/>
    <w:rsid w:val="00E97BCE"/>
    <w:rsid w:val="00EA2786"/>
    <w:rsid w:val="00EB2035"/>
    <w:rsid w:val="00EB6055"/>
    <w:rsid w:val="00EB6CB2"/>
    <w:rsid w:val="00EB71E5"/>
    <w:rsid w:val="00EC6C59"/>
    <w:rsid w:val="00ED057B"/>
    <w:rsid w:val="00ED0A6E"/>
    <w:rsid w:val="00ED5310"/>
    <w:rsid w:val="00ED624C"/>
    <w:rsid w:val="00ED6690"/>
    <w:rsid w:val="00EE0798"/>
    <w:rsid w:val="00EE30F2"/>
    <w:rsid w:val="00EE5D4F"/>
    <w:rsid w:val="00EE626E"/>
    <w:rsid w:val="00EE6CA5"/>
    <w:rsid w:val="00EF00CC"/>
    <w:rsid w:val="00EF13A9"/>
    <w:rsid w:val="00EF17F9"/>
    <w:rsid w:val="00EF1A18"/>
    <w:rsid w:val="00EF2B2A"/>
    <w:rsid w:val="00EF5311"/>
    <w:rsid w:val="00EF5407"/>
    <w:rsid w:val="00F01632"/>
    <w:rsid w:val="00F03D78"/>
    <w:rsid w:val="00F0440D"/>
    <w:rsid w:val="00F047AD"/>
    <w:rsid w:val="00F11EE7"/>
    <w:rsid w:val="00F14CDC"/>
    <w:rsid w:val="00F17F25"/>
    <w:rsid w:val="00F23D31"/>
    <w:rsid w:val="00F25045"/>
    <w:rsid w:val="00F26EDC"/>
    <w:rsid w:val="00F31B3E"/>
    <w:rsid w:val="00F34285"/>
    <w:rsid w:val="00F35980"/>
    <w:rsid w:val="00F37E59"/>
    <w:rsid w:val="00F41562"/>
    <w:rsid w:val="00F45ADC"/>
    <w:rsid w:val="00F478EC"/>
    <w:rsid w:val="00F52A19"/>
    <w:rsid w:val="00F55445"/>
    <w:rsid w:val="00F57116"/>
    <w:rsid w:val="00F63F5C"/>
    <w:rsid w:val="00F71C0C"/>
    <w:rsid w:val="00F71F95"/>
    <w:rsid w:val="00F72518"/>
    <w:rsid w:val="00F764C6"/>
    <w:rsid w:val="00F77430"/>
    <w:rsid w:val="00F917C5"/>
    <w:rsid w:val="00F93274"/>
    <w:rsid w:val="00F936D3"/>
    <w:rsid w:val="00F960F8"/>
    <w:rsid w:val="00F968EF"/>
    <w:rsid w:val="00FA3B49"/>
    <w:rsid w:val="00FA7BD9"/>
    <w:rsid w:val="00FB0E43"/>
    <w:rsid w:val="00FB5799"/>
    <w:rsid w:val="00FB5D81"/>
    <w:rsid w:val="00FC0460"/>
    <w:rsid w:val="00FC0C74"/>
    <w:rsid w:val="00FC4E62"/>
    <w:rsid w:val="00FD00DE"/>
    <w:rsid w:val="00FD4D19"/>
    <w:rsid w:val="00FD5CB6"/>
    <w:rsid w:val="00FE29A5"/>
    <w:rsid w:val="00FF0214"/>
    <w:rsid w:val="00FF5091"/>
    <w:rsid w:val="00FF6001"/>
    <w:rsid w:val="00FF62A2"/>
    <w:rsid w:val="00FF660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8BDC5"/>
  <w15:docId w15:val="{F04FEEA0-9143-4DF6-BFAF-A7324BDF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430"/>
    <w:rPr>
      <w:rFonts w:ascii="Arial CRO" w:hAnsi="Arial CRO"/>
      <w:sz w:val="24"/>
      <w:lang w:val="en-GB"/>
    </w:rPr>
  </w:style>
  <w:style w:type="paragraph" w:styleId="Naslov1">
    <w:name w:val="heading 1"/>
    <w:basedOn w:val="Normal"/>
    <w:next w:val="Normal"/>
    <w:qFormat/>
    <w:rsid w:val="00F7743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F7743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slov3">
    <w:name w:val="heading 3"/>
    <w:basedOn w:val="Normal"/>
    <w:next w:val="Normal"/>
    <w:qFormat/>
    <w:rsid w:val="00F77430"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F77430"/>
    <w:pPr>
      <w:keepNext/>
      <w:jc w:val="center"/>
      <w:outlineLvl w:val="3"/>
    </w:pPr>
    <w:rPr>
      <w:rFonts w:ascii="Arial" w:hAnsi="Arial"/>
      <w:b/>
      <w:sz w:val="28"/>
    </w:rPr>
  </w:style>
  <w:style w:type="paragraph" w:styleId="Naslov5">
    <w:name w:val="heading 5"/>
    <w:basedOn w:val="Normal"/>
    <w:next w:val="Normal"/>
    <w:qFormat/>
    <w:rsid w:val="00F77430"/>
    <w:pPr>
      <w:keepNext/>
      <w:jc w:val="center"/>
      <w:outlineLvl w:val="4"/>
    </w:pPr>
    <w:rPr>
      <w:rFonts w:ascii="Arial" w:hAnsi="Arial"/>
      <w:b/>
      <w:sz w:val="32"/>
    </w:rPr>
  </w:style>
  <w:style w:type="paragraph" w:styleId="Naslov6">
    <w:name w:val="heading 6"/>
    <w:basedOn w:val="Normal"/>
    <w:next w:val="Normal"/>
    <w:qFormat/>
    <w:rsid w:val="00F77430"/>
    <w:pPr>
      <w:keepNext/>
      <w:jc w:val="center"/>
      <w:outlineLvl w:val="5"/>
    </w:pPr>
    <w:rPr>
      <w:rFonts w:ascii="Arial" w:hAnsi="Arial"/>
      <w:b/>
      <w:sz w:val="36"/>
    </w:rPr>
  </w:style>
  <w:style w:type="paragraph" w:styleId="Naslov7">
    <w:name w:val="heading 7"/>
    <w:basedOn w:val="Normal"/>
    <w:next w:val="Normal"/>
    <w:qFormat/>
    <w:rsid w:val="00F77430"/>
    <w:pPr>
      <w:keepNext/>
      <w:jc w:val="center"/>
      <w:outlineLvl w:val="6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77430"/>
    <w:pPr>
      <w:jc w:val="both"/>
    </w:pPr>
    <w:rPr>
      <w:rFonts w:ascii="Arial" w:hAnsi="Arial"/>
    </w:rPr>
  </w:style>
  <w:style w:type="paragraph" w:styleId="Tijeloteksta2">
    <w:name w:val="Body Text 2"/>
    <w:basedOn w:val="Normal"/>
    <w:rsid w:val="00F77430"/>
    <w:pPr>
      <w:jc w:val="both"/>
    </w:pPr>
    <w:rPr>
      <w:rFonts w:ascii="Arial" w:hAnsi="Arial"/>
      <w:b/>
    </w:rPr>
  </w:style>
  <w:style w:type="paragraph" w:styleId="Zaglavlje">
    <w:name w:val="header"/>
    <w:basedOn w:val="Normal"/>
    <w:rsid w:val="00F77430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F77430"/>
  </w:style>
  <w:style w:type="table" w:styleId="Reetkatablice">
    <w:name w:val="Table Grid"/>
    <w:basedOn w:val="Obinatablica"/>
    <w:rsid w:val="0089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12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AD67-11F1-4765-A15E-05C25B35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28355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Dubravko</dc:creator>
  <cp:lastModifiedBy>SILVIJA STOJIĆ</cp:lastModifiedBy>
  <cp:revision>6</cp:revision>
  <cp:lastPrinted>2021-08-24T07:57:00Z</cp:lastPrinted>
  <dcterms:created xsi:type="dcterms:W3CDTF">2025-09-12T09:56:00Z</dcterms:created>
  <dcterms:modified xsi:type="dcterms:W3CDTF">2025-10-01T10:56:00Z</dcterms:modified>
</cp:coreProperties>
</file>