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ac3cd388dcf4c7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35677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DONJI MIHOLJAC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6.205.882,62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7.709.084,16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4.124.404,93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5.239.251,62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2.081.477,69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2.469.832,54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100.743,92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34.140,95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1.760.677,87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3.815.885,25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1.659.933,95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3.781.744,30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511.911,76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ostvareni su prihodi poslovanja u iznosu od 7.709.084,16 EUR. Najviše ostvarenih prihoda uz porez na dohodak i fiskalno izravnanje se odnosi na kapitalne pomoći iz EU za izgradnju Dječjeg vrtića u Rakitovici (također i iz Državnog proračuna), energetsku obnovu zgrade u Vukovarskoj 9 i Vukovarskoj 7 kao i projekt kulturne baštine, te od FZZO za program prilagodbe klimatskim promjenama i sanaciju odlagališta otpada. Rashodi poslovanja ostvareni su u iznosu od 5.239.251,62 EUR i odnose se na povećanje plaće, troškove projekta Zaželi, te najvećim dijelom na projekt razvoja vodno komunalne infrastrukture gdje Grad sufinancira Hrvatske vode (Vodovod Osijek d.o.o.). Prihodi od prodaje nefinancijske imovine su ostvareni u iznosu od 34.140,95 EUR i odnose se na prodaju poljoprivrednog zemljišta u vlasništvu RH u kojem Grad ima udio od 65%. Rashodi za nabavu nefinancijske imovine u iznosu od 3.815.885,25 EUR se odnose na izgradnju Dječjeg vrtića u Rakitovici, Gradske tržnice, energetsku obnovu zgrada u Vlasništvu Grada, sanaciju odlagališta otpada, rekonstrukciju društvenih domova u prigradskim naseljima, te biciklističkih staza na području Grada. Grad je podigao kratkoročni kredit u iznosu od 800.000,00 EUR čija naplate kreće u 2026. godini. U navedenom razdoblju ostvaren je višak prihoda poslovanja u iznosu od 2.469.832,54  EUR, manjak prihoda od nefinancijske imovine u iznosu od 33.781.744,30 EUR, te višak od financijske imovine i zaduživanja što je dovelo do manjka prihoda i primitaka u iznosu od 511.911,76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6.205.882,62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7.709.084,16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Na povećanje prihoda poslovanja za 24% su najviše utjecale (634) kapitalne pomoći od FZZO za sanaciju odlagališta otpada Doroslov, za energetsku učinkovitost- prilagodba klimatskim promjenama i razvoj zelene infrastrukture uz biciklističke staze i prometnice u Gradu. Također je utjecalo (635) fiskalno izravnanje i fiskalna održivost dječjih vrtića kao i (638) pomoći iz Drž. proračuna temeljem prijenosa EU sredstava za projekte "Zaželi 4", energetsku obnovu zgrada u vlasništvu Grada i izgradnju dječjeg vrtića.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4.124.404,93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5.239.251,62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Rashodi poslovanja su veći za 27% najviše zbog kapitalnih pomoći trgovačkom društvu u suvlasništvu Grada za razvoj vodno komunalne infrastrukture na području Grada, te prijenose proračunskom korisnicima zbog sveukupnog rasta cijena roba i usluga (inflacija).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1.760.677,87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3.815.885,25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w:t>
            </w:r>
          </w:p>
        </w:tc>
      </w:tr>
    </w:tbl>
    <w:p>
      <w:pPr>
        <w:spacing w:before="0" w:after="0"/>
      </w:pPr>
    </w:p>
    <w:p>
      <w:r>
        <w:t xml:space="preserve">Tijekom 2025. dolazi do povećanja rashoda za nabavu nefinancijske imovine zbog građevinskih radova na izgradnji dječjeg vrtića, rekonstrukciji i izgradnji Gradske tržnice, sanacije Odlagališta otpada, izgradnje biciklističkih staza i nogostupa na području Grada, sanacije Društvenih domova u prigradskim naseljima i ostalih građevinskih radova.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1.170.332,53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1.588.213,00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Razlika u odnosu na donos iz prethodne godine zbog ispravaka iz prethodnih razdoblja u iznosu od 3.663,27 EUR.</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1.591.876,27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1.076.301,24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r>
        <w:t xml:space="preserve">Tijekom 2025. godine ostvaren je višak prihoda poslovanja u iznosu od 2.469.832,54 EUR, manjak prihoda od nefinancijske imovine u iznosu od 3.781.744,30 € te višak primitaka od financijske imovine u iznosu od 800.000,00 EUR što je rezultiralo manjkom prihoda i primitaka za 2025. u iznosu od 511.911,76 EUR. S obzirom kako je iz prethodne godine prenesen višak prihoda i primitaka u iznosu od 1.588.213,00 EUR, raspoloživi višak u sljedećem razdoblju iznosi 1.076.301,24 EUR.</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1.806.665,93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4.579.774,84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253,5</w:t>
            </w:r>
          </w:p>
        </w:tc>
      </w:tr>
    </w:tbl>
    <w:p>
      <w:pPr>
        <w:spacing w:before="0" w:after="0"/>
      </w:pPr>
    </w:p>
    <w:p>
      <w:r>
        <w:t xml:space="preserve">Tijekom 2025. nastavljaju se radovi na izgradnji dječjeg vrtića u Rakitovici, rekonstrukciji Gradske tržnice te novih biciklističkih staza na području Grada.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Radi premošćivanja jaza zbog različite dinamike priljeva sredstava i dospijeća obveza podignut je kratkoročni kredit kod kojeg prvi mjesečni anuitet dolazi na naplatu u siječnju 2026.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1.591.876,27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1.076.301,24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r>
        <w:t xml:space="preserve">Tijekom godine je donesena Odluka o raspodjeli rezultata gdje je pokriven manjak prihoda od nefinancijske imovine iz viška prihoda poslovanja.</w:t>
      </w:r>
    </w:p>
    <w:p>
      <w:r>
        <w:t xml:space="preserve">Višak/manjak se razlikuje od obrasca PR-RAS jer je provedena obvezna korekcija  na računima kapitalnih prijenosa sredstava, te je iskazan višak prihoda poslovanja u iznosu od 2.237.596,19 EUR, manjak prihoda od nefinancijske imovine u iznosu od 1.961.294,95 EUR te višak primitaka od financijske imovine u iznosu od 800.000,00 EUR.</w:t>
      </w:r>
    </w:p>
    <w:p>
      <w:r>
        <w:t xml:space="preserve">Tijekom 2025. godine evidentirani su na računima kapitalnih prijenosa sredstava u iznosu od 1.834.033,03 Eura koji su utrošeni za nabavu dugotrajne nefinancijske imovine:</w:t>
      </w:r>
    </w:p>
    <w:p>
      <w:r>
        <w:t xml:space="preserve">-       6332 kapitalne pomoći iz državnog proračuna- 526.564,18 EUR</w:t>
      </w:r>
    </w:p>
    <w:p>
      <w:r>
        <w:t xml:space="preserve">-       6342 kapitalne pomoći od izvanproračunskog korisnika- 718.718,33 EUR</w:t>
      </w:r>
    </w:p>
    <w:p>
      <w:r>
        <w:t xml:space="preserve">-       6382 kapitalne pomoći iz državnog proračuna temeljem prijenosa EU sredstava- 588.750,52 EUR.</w:t>
      </w:r>
    </w:p>
    <w:p>
      <w:r>
        <w:t xml:space="preserve">Obvezna korekcija konta 36731-prijenosi proračunskim korisnicima za nabavu nefinancijske imovine u iznosila je 6.979,54 EUR.</w:t>
      </w:r>
    </w:p>
    <w:p>
      <w:r>
        <w:t xml:space="preserve">Navedeni kapitalni prihodi utjecali su na rezultat od redovnog poslovanja, a nabavljena nefinancijska imovina na rezultat od nefinancijske imovine.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Naknadno je utvrđeno kako prihodi prethodnih godina nisu bili pravilno evidentirani stoga utječu na rezultat tekuće poslovne godine. Radi se o prihodima od komunalnog doprinosa, spomeničke rente i poreza na promet nekretnina.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Utvrđeno kako su jamčevine za ozbiljnost ponuda dvostruko knjižene na prihode (po izlaznom računu i po uplati). Ispravkom navedenog utječemo na manjak prihoda tekuće godine.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Promet (šifre 0451 do 0455)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161.593,97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760.231,22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470,5</w:t>
            </w:r>
          </w:p>
        </w:tc>
      </w:tr>
    </w:tbl>
    <w:p>
      <w:pPr>
        <w:spacing w:before="0" w:after="0"/>
      </w:pPr>
    </w:p>
    <w:p>
      <w:r>
        <w:t xml:space="preserve">045 Promet, gdje u cestovni promet ide sanacija asfaltiranih cesta, te izgradnja i rekonstrukcija prometnih objekata i opreme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obujmu financijske imovine zbog otpisa potraživanja što zbog zastare, što zbog brisanja pojedinih subjekata iz Trgovačkog suda.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157.782,18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iznose 157.782,18 EUR, a najviše su to ostale tekuće obveze. Odnose se na jamčevine za prijavu na natječaj za zakup poljoprivrednog zemljišta u vlasništvu RH, za ozbiljnost ponuda prijava na natječaje Grada. Neplaćene obveze sa prekoračenjem većim od 360 dana su ili zastarjele ili su tužene.</w:t>
      </w:r>
    </w:p>
    <w:p/>
    <w:p>
      <w:pPr>
        <w:jc w:val="center"/>
        <w:pStyle w:val="Normal"/>
        <w:spacing w:line="240" w:lineRule="auto"/>
        <w:keepNext/>
      </w:pPr>
      <w:r>
        <w:rPr>
          <w:sz w:val="28"/>
          <w:rFonts w:ascii="Times New Roman" w:hAnsi="Times New Roman"/>
        </w:rPr>
        <w:t xml:space="preserve">Bilješka 15.</w:t>
      </w:r>
    </w:p>
    <w:p>
      <w:pPr>
        <w:jc w:val="both"/>
        <w:pStyle w:val="Normal"/>
        <w:spacing w:line="240" w:lineRule="auto"/>
      </w:pPr>
      <w:r>
        <w:rPr>
          <w:b/>
          <w:sz w:val="24"/>
          <w:rFonts w:ascii="Times New Roman" w:hAnsi="Times New Roman"/>
        </w:rPr>
        <w:t xml:space="preserve">EU izvještaj</w:t>
      </w:r>
    </w:p>
    <w:p>
      <w:r>
        <w:t xml:space="preserve">Projekti se nastavljaju u 2025. godini, a odnose se na:</w:t>
      </w:r>
    </w:p>
    <w:p>
      <w:pPr>
        <w:pStyle w:val="ListParagraph"/>
        <w:numPr>
          <w:ilvl w:val="0"/>
          <w:numId w:val="2"/>
        </w:numPr>
      </w:pPr>
      <w:r>
        <w:t xml:space="preserve">Izgradnju dječjeg vrtića u Rakitovici gdje je Grad dobio sredstva u iznosu od 181.564,80EUR iz EU i 396.870,40 EUR iz Ministarstva znanosti obrazovanja i mladih</w:t>
      </w:r>
    </w:p>
    <w:p>
      <w:pPr>
        <w:pStyle w:val="ListParagraph"/>
        <w:numPr>
          <w:ilvl w:val="0"/>
          <w:numId w:val="2"/>
        </w:numPr>
      </w:pPr>
      <w:r>
        <w:t xml:space="preserve">Energetsku obnovu zgrada (Vukovarska 7 i 9) od EU 314.548,43 EUR, te iz Min. reg. razvoja i fondova EU 80.000,00</w:t>
      </w:r>
    </w:p>
    <w:p>
      <w:pPr>
        <w:pStyle w:val="ListParagraph"/>
        <w:numPr>
          <w:ilvl w:val="0"/>
          <w:numId w:val="2"/>
        </w:numPr>
      </w:pPr>
      <w:r>
        <w:t xml:space="preserve">Projekti kulturna baština i zelena urbana obnova iz EU 92.637,29 EUR</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c25eb3d0dd364fd4" /><Relationship Type="http://schemas.openxmlformats.org/officeDocument/2006/relationships/numbering" Target="/word/numbering.xml" Id="Rdf0a8a60ee8f4a27" /></Relationships>
</file>